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6998C" w14:textId="77777777" w:rsidR="00630136" w:rsidRDefault="00630136">
      <w:pPr>
        <w:pStyle w:val="Header"/>
        <w:tabs>
          <w:tab w:val="clear" w:pos="4320"/>
          <w:tab w:val="clear" w:pos="8640"/>
        </w:tabs>
        <w:jc w:val="center"/>
      </w:pPr>
    </w:p>
    <w:p w14:paraId="04AD7C22" w14:textId="77777777" w:rsidR="00DF7A37" w:rsidRPr="00DF7A37" w:rsidRDefault="00C623DD">
      <w:pPr>
        <w:pStyle w:val="Header"/>
        <w:tabs>
          <w:tab w:val="clear" w:pos="4320"/>
          <w:tab w:val="clear" w:pos="8640"/>
        </w:tabs>
        <w:jc w:val="center"/>
        <w:rPr>
          <w:sz w:val="20"/>
          <w:szCs w:val="20"/>
        </w:rPr>
      </w:pPr>
      <w:r w:rsidRPr="00C623DD">
        <w:rPr>
          <w:sz w:val="28"/>
        </w:rPr>
        <w:t xml:space="preserve">Getting to Know US Latinos: A Step </w:t>
      </w:r>
      <w:r>
        <w:rPr>
          <w:sz w:val="28"/>
        </w:rPr>
        <w:t>T</w:t>
      </w:r>
      <w:r w:rsidRPr="00C623DD">
        <w:rPr>
          <w:sz w:val="28"/>
        </w:rPr>
        <w:t>oward Cultural Competence</w:t>
      </w:r>
    </w:p>
    <w:p w14:paraId="0E7FE9F7" w14:textId="77777777" w:rsidR="00C623DD" w:rsidRDefault="00C623DD">
      <w:pPr>
        <w:pStyle w:val="Header"/>
        <w:tabs>
          <w:tab w:val="clear" w:pos="4320"/>
          <w:tab w:val="clear" w:pos="8640"/>
        </w:tabs>
        <w:jc w:val="center"/>
      </w:pPr>
    </w:p>
    <w:p w14:paraId="5C3F5264" w14:textId="77777777" w:rsidR="00854FD0" w:rsidRPr="002331C1" w:rsidRDefault="00C623DD">
      <w:pPr>
        <w:pStyle w:val="Header"/>
        <w:tabs>
          <w:tab w:val="clear" w:pos="4320"/>
          <w:tab w:val="clear" w:pos="8640"/>
        </w:tabs>
        <w:jc w:val="center"/>
      </w:pPr>
      <w:r>
        <w:t>Miguel A. Perez</w:t>
      </w:r>
      <w:r w:rsidRPr="00C623DD">
        <w:rPr>
          <w:vertAlign w:val="superscript"/>
        </w:rPr>
        <w:t>1</w:t>
      </w:r>
      <w:r w:rsidRPr="00C623DD">
        <w:t xml:space="preserve">, </w:t>
      </w:r>
      <w:r>
        <w:t xml:space="preserve">and </w:t>
      </w:r>
      <w:proofErr w:type="spellStart"/>
      <w:r>
        <w:t>Raffy</w:t>
      </w:r>
      <w:proofErr w:type="spellEnd"/>
      <w:r>
        <w:t xml:space="preserve"> R. Luquis</w:t>
      </w:r>
      <w:r w:rsidRPr="00C623DD">
        <w:rPr>
          <w:vertAlign w:val="superscript"/>
        </w:rPr>
        <w:t>2</w:t>
      </w:r>
      <w:r>
        <w:t xml:space="preserve"> </w:t>
      </w:r>
    </w:p>
    <w:p w14:paraId="04489FDF" w14:textId="77777777" w:rsidR="00854FD0" w:rsidRDefault="00854FD0">
      <w:pPr>
        <w:pStyle w:val="Header"/>
        <w:tabs>
          <w:tab w:val="clear" w:pos="4320"/>
          <w:tab w:val="clear" w:pos="8640"/>
        </w:tabs>
        <w:jc w:val="center"/>
        <w:rPr>
          <w:sz w:val="20"/>
        </w:rPr>
      </w:pPr>
    </w:p>
    <w:p w14:paraId="7129E3CF" w14:textId="77777777" w:rsidR="00854FD0" w:rsidRDefault="001B20F9" w:rsidP="00C623DD">
      <w:pPr>
        <w:jc w:val="center"/>
        <w:rPr>
          <w:i/>
          <w:iCs/>
        </w:rPr>
      </w:pPr>
      <w:r w:rsidRPr="001B20F9">
        <w:rPr>
          <w:i/>
          <w:iCs/>
          <w:vertAlign w:val="superscript"/>
        </w:rPr>
        <w:t>1</w:t>
      </w:r>
      <w:r w:rsidR="00C623DD" w:rsidRPr="00C623DD">
        <w:rPr>
          <w:i/>
          <w:iCs/>
        </w:rPr>
        <w:t>California State University, Fresno</w:t>
      </w:r>
    </w:p>
    <w:p w14:paraId="6F156612" w14:textId="77777777" w:rsidR="001B20F9" w:rsidRDefault="001B20F9" w:rsidP="00C623DD">
      <w:pPr>
        <w:jc w:val="center"/>
        <w:rPr>
          <w:i/>
          <w:iCs/>
        </w:rPr>
      </w:pPr>
      <w:r w:rsidRPr="001B20F9">
        <w:rPr>
          <w:i/>
          <w:iCs/>
          <w:vertAlign w:val="superscript"/>
        </w:rPr>
        <w:t>2</w:t>
      </w:r>
      <w:r w:rsidRPr="001B20F9">
        <w:rPr>
          <w:i/>
          <w:iCs/>
        </w:rPr>
        <w:t>Penn State</w:t>
      </w:r>
      <w:r>
        <w:rPr>
          <w:i/>
          <w:iCs/>
        </w:rPr>
        <w:t>,</w:t>
      </w:r>
      <w:r w:rsidRPr="001B20F9">
        <w:rPr>
          <w:i/>
          <w:iCs/>
        </w:rPr>
        <w:t xml:space="preserve"> Harrisburg</w:t>
      </w:r>
    </w:p>
    <w:p w14:paraId="22F9B3B5" w14:textId="77777777" w:rsidR="001B20F9" w:rsidRDefault="001B20F9" w:rsidP="00C623DD">
      <w:pPr>
        <w:jc w:val="center"/>
        <w:rPr>
          <w:sz w:val="22"/>
        </w:rPr>
      </w:pPr>
    </w:p>
    <w:p w14:paraId="606FE145" w14:textId="77777777" w:rsidR="001B20F9" w:rsidRDefault="001B20F9" w:rsidP="00C623DD">
      <w:pPr>
        <w:jc w:val="center"/>
        <w:rPr>
          <w:sz w:val="22"/>
        </w:rPr>
      </w:pPr>
    </w:p>
    <w:p w14:paraId="3F220EF3" w14:textId="77777777" w:rsidR="00854FD0" w:rsidRDefault="00854FD0" w:rsidP="00450125">
      <w:pPr>
        <w:pStyle w:val="Heading2"/>
        <w:spacing w:line="360" w:lineRule="auto"/>
        <w:jc w:val="center"/>
        <w:rPr>
          <w:sz w:val="24"/>
        </w:rPr>
      </w:pPr>
      <w:r w:rsidRPr="00450125">
        <w:rPr>
          <w:sz w:val="24"/>
        </w:rPr>
        <w:t>Abstract</w:t>
      </w:r>
    </w:p>
    <w:p w14:paraId="18A455EC" w14:textId="77777777" w:rsidR="00854FD0" w:rsidRDefault="001B20F9" w:rsidP="001B20F9">
      <w:pPr>
        <w:jc w:val="both"/>
        <w:rPr>
          <w:sz w:val="22"/>
          <w:szCs w:val="22"/>
        </w:rPr>
      </w:pPr>
      <w:r w:rsidRPr="001B20F9">
        <w:rPr>
          <w:sz w:val="22"/>
          <w:szCs w:val="22"/>
        </w:rPr>
        <w:t>Data from the 2010 US Census Bureau, Latinos are one of the largest non-White groups in the United States, a trend expected to continue</w:t>
      </w:r>
      <w:r>
        <w:rPr>
          <w:sz w:val="22"/>
          <w:szCs w:val="22"/>
        </w:rPr>
        <w:t xml:space="preserve"> during the next two decades. </w:t>
      </w:r>
      <w:r w:rsidRPr="001B20F9">
        <w:rPr>
          <w:sz w:val="22"/>
          <w:szCs w:val="22"/>
        </w:rPr>
        <w:t xml:space="preserve">Despite their status as the largest non-White populations in the US, Latinos continue to be poorly understood and their heterogeneous </w:t>
      </w:r>
      <w:r>
        <w:rPr>
          <w:sz w:val="22"/>
          <w:szCs w:val="22"/>
        </w:rPr>
        <w:t xml:space="preserve">backgrounds are often ignored. </w:t>
      </w:r>
      <w:r w:rsidRPr="001B20F9">
        <w:rPr>
          <w:sz w:val="22"/>
          <w:szCs w:val="22"/>
        </w:rPr>
        <w:t xml:space="preserve">The purpose of this paper is to describe an interactive learning activity designed to explore Latino demographics, food preferences, and </w:t>
      </w:r>
      <w:proofErr w:type="gramStart"/>
      <w:r w:rsidRPr="001B20F9">
        <w:rPr>
          <w:sz w:val="22"/>
          <w:szCs w:val="22"/>
        </w:rPr>
        <w:t>culturally-specific</w:t>
      </w:r>
      <w:proofErr w:type="gramEnd"/>
      <w:r w:rsidRPr="001B20F9">
        <w:rPr>
          <w:sz w:val="22"/>
          <w:szCs w:val="22"/>
        </w:rPr>
        <w:t xml:space="preserve"> health practices and beliefs among this population that traces its roots to many Latin American countries extending from Mexico to Tierra del Fue</w:t>
      </w:r>
      <w:r>
        <w:rPr>
          <w:sz w:val="22"/>
          <w:szCs w:val="22"/>
        </w:rPr>
        <w:t xml:space="preserve">go and some Caribbean islands. </w:t>
      </w:r>
      <w:r w:rsidRPr="001B20F9">
        <w:rPr>
          <w:sz w:val="22"/>
          <w:szCs w:val="22"/>
        </w:rPr>
        <w:t>The activity described in this paper is designed for English speaking audiences and may be used with junior or senior high school or college students</w:t>
      </w:r>
    </w:p>
    <w:p w14:paraId="738109CF" w14:textId="77777777" w:rsidR="002331C1" w:rsidRPr="00ED746B" w:rsidRDefault="002331C1" w:rsidP="00ED746B">
      <w:pPr>
        <w:rPr>
          <w:sz w:val="22"/>
          <w:szCs w:val="22"/>
        </w:rPr>
      </w:pPr>
    </w:p>
    <w:p w14:paraId="38624A8D" w14:textId="77777777" w:rsidR="00854FD0" w:rsidRPr="00655224" w:rsidRDefault="000959DC" w:rsidP="00630136">
      <w:pPr>
        <w:rPr>
          <w:sz w:val="20"/>
          <w:szCs w:val="20"/>
        </w:rPr>
      </w:pPr>
      <w:r>
        <w:rPr>
          <w:sz w:val="20"/>
          <w:szCs w:val="20"/>
        </w:rPr>
        <w:t>©</w:t>
      </w:r>
      <w:r w:rsidR="006A662D">
        <w:rPr>
          <w:sz w:val="20"/>
          <w:szCs w:val="20"/>
        </w:rPr>
        <w:t xml:space="preserve"> </w:t>
      </w:r>
      <w:r w:rsidR="003F4074">
        <w:rPr>
          <w:sz w:val="20"/>
          <w:szCs w:val="20"/>
        </w:rPr>
        <w:t>2012</w:t>
      </w:r>
      <w:r w:rsidR="00762457" w:rsidRPr="00655224">
        <w:rPr>
          <w:sz w:val="20"/>
          <w:szCs w:val="20"/>
        </w:rPr>
        <w:t xml:space="preserve"> </w:t>
      </w:r>
      <w:r w:rsidR="00854FD0" w:rsidRPr="00655224">
        <w:rPr>
          <w:sz w:val="20"/>
          <w:szCs w:val="20"/>
        </w:rPr>
        <w:t>Californian Journal of Health Promotion</w:t>
      </w:r>
      <w:r>
        <w:rPr>
          <w:sz w:val="20"/>
          <w:szCs w:val="20"/>
        </w:rPr>
        <w:t xml:space="preserve">. </w:t>
      </w:r>
      <w:r w:rsidR="00854FD0" w:rsidRPr="00655224">
        <w:rPr>
          <w:sz w:val="20"/>
          <w:szCs w:val="20"/>
        </w:rPr>
        <w:t>All rights reserved.</w:t>
      </w:r>
    </w:p>
    <w:p w14:paraId="2DD2E2E8" w14:textId="77777777" w:rsidR="00854FD0" w:rsidRPr="00643448" w:rsidRDefault="00854FD0" w:rsidP="00630136">
      <w:pPr>
        <w:rPr>
          <w:i/>
          <w:iCs/>
          <w:sz w:val="20"/>
          <w:szCs w:val="20"/>
        </w:rPr>
      </w:pPr>
      <w:r w:rsidRPr="00655224">
        <w:rPr>
          <w:i/>
          <w:iCs/>
          <w:sz w:val="20"/>
          <w:szCs w:val="20"/>
        </w:rPr>
        <w:t xml:space="preserve">Keywords: </w:t>
      </w:r>
      <w:r w:rsidR="001B20F9" w:rsidRPr="001B20F9">
        <w:rPr>
          <w:i/>
          <w:iCs/>
          <w:sz w:val="20"/>
          <w:szCs w:val="20"/>
        </w:rPr>
        <w:t>Latino, demographics, health, practices, food, health promotion</w:t>
      </w:r>
    </w:p>
    <w:p w14:paraId="0E57B666" w14:textId="77777777" w:rsidR="00854FD0" w:rsidRPr="00655224" w:rsidRDefault="00854FD0">
      <w:pPr>
        <w:rPr>
          <w:sz w:val="22"/>
          <w:szCs w:val="22"/>
        </w:rPr>
      </w:pPr>
    </w:p>
    <w:p w14:paraId="55FD31E8" w14:textId="77777777" w:rsidR="00155C82" w:rsidRPr="00655224" w:rsidRDefault="00155C82" w:rsidP="00155C82">
      <w:pPr>
        <w:rPr>
          <w:sz w:val="22"/>
          <w:szCs w:val="22"/>
        </w:rPr>
      </w:pPr>
    </w:p>
    <w:p w14:paraId="6D707CBA" w14:textId="77777777" w:rsidR="00155C82" w:rsidRPr="00655224" w:rsidRDefault="00155C82" w:rsidP="00155C82">
      <w:pPr>
        <w:rPr>
          <w:b/>
          <w:sz w:val="22"/>
          <w:szCs w:val="22"/>
        </w:rPr>
        <w:sectPr w:rsidR="00155C82" w:rsidRPr="00655224" w:rsidSect="008D5D2B">
          <w:headerReference w:type="even" r:id="rId8"/>
          <w:headerReference w:type="default" r:id="rId9"/>
          <w:footerReference w:type="even" r:id="rId10"/>
          <w:footerReference w:type="default" r:id="rId11"/>
          <w:pgSz w:w="12240" w:h="15840"/>
          <w:pgMar w:top="1440" w:right="1440" w:bottom="1440" w:left="1440" w:header="720" w:footer="720" w:gutter="0"/>
          <w:pgNumType w:start="65"/>
          <w:cols w:space="720"/>
          <w:docGrid w:linePitch="360"/>
        </w:sectPr>
      </w:pPr>
    </w:p>
    <w:p w14:paraId="0F6DD78C" w14:textId="77777777" w:rsidR="001B20F9" w:rsidRPr="001B20F9" w:rsidRDefault="001B20F9" w:rsidP="004E4D64">
      <w:pPr>
        <w:pStyle w:val="clear"/>
        <w:spacing w:before="0" w:beforeAutospacing="0" w:after="0" w:line="480" w:lineRule="auto"/>
        <w:jc w:val="center"/>
        <w:rPr>
          <w:b/>
          <w:sz w:val="22"/>
          <w:szCs w:val="22"/>
          <w:u w:val="none"/>
        </w:rPr>
      </w:pPr>
      <w:r w:rsidRPr="001B20F9">
        <w:rPr>
          <w:b/>
          <w:sz w:val="22"/>
          <w:szCs w:val="22"/>
          <w:u w:val="none"/>
        </w:rPr>
        <w:lastRenderedPageBreak/>
        <w:t>Introduction</w:t>
      </w:r>
    </w:p>
    <w:p w14:paraId="03F2BF99" w14:textId="77777777" w:rsidR="001B20F9" w:rsidRPr="001B20F9" w:rsidRDefault="001B20F9" w:rsidP="004E4D64">
      <w:pPr>
        <w:pStyle w:val="clear"/>
        <w:spacing w:before="0" w:beforeAutospacing="0" w:after="0"/>
        <w:rPr>
          <w:sz w:val="22"/>
          <w:szCs w:val="22"/>
          <w:u w:val="none"/>
        </w:rPr>
      </w:pPr>
      <w:r w:rsidRPr="001B20F9">
        <w:rPr>
          <w:sz w:val="22"/>
          <w:szCs w:val="22"/>
          <w:u w:val="none"/>
        </w:rPr>
        <w:t>Health related beliefs, disease prevention activities, and adherence to allopathic medical practices are greatly influence by a person’s cultural background (</w:t>
      </w:r>
      <w:proofErr w:type="spellStart"/>
      <w:r w:rsidRPr="001B20F9">
        <w:rPr>
          <w:sz w:val="22"/>
          <w:szCs w:val="22"/>
          <w:u w:val="none"/>
        </w:rPr>
        <w:t>Alegria</w:t>
      </w:r>
      <w:proofErr w:type="spellEnd"/>
      <w:r w:rsidRPr="001B20F9">
        <w:rPr>
          <w:sz w:val="22"/>
          <w:szCs w:val="22"/>
          <w:u w:val="none"/>
        </w:rPr>
        <w:t xml:space="preserve">, </w:t>
      </w:r>
      <w:proofErr w:type="spellStart"/>
      <w:r w:rsidRPr="001B20F9">
        <w:rPr>
          <w:sz w:val="22"/>
          <w:szCs w:val="22"/>
          <w:u w:val="none"/>
        </w:rPr>
        <w:t>Mulvaney</w:t>
      </w:r>
      <w:proofErr w:type="spellEnd"/>
      <w:r w:rsidRPr="001B20F9">
        <w:rPr>
          <w:sz w:val="22"/>
          <w:szCs w:val="22"/>
          <w:u w:val="none"/>
        </w:rPr>
        <w:t xml:space="preserve">-Day, Carson, &amp; Woo, 2008; Centers for Disease Control and Prevention, 2011a; </w:t>
      </w:r>
      <w:proofErr w:type="spellStart"/>
      <w:r w:rsidRPr="001B20F9">
        <w:rPr>
          <w:sz w:val="22"/>
          <w:szCs w:val="22"/>
          <w:u w:val="none"/>
        </w:rPr>
        <w:t>Luquis</w:t>
      </w:r>
      <w:proofErr w:type="spellEnd"/>
      <w:r w:rsidRPr="001B20F9">
        <w:rPr>
          <w:sz w:val="22"/>
          <w:szCs w:val="22"/>
          <w:u w:val="none"/>
        </w:rPr>
        <w:t xml:space="preserve"> &amp; Perez, 2005).  Despite the growing body of literature addressing the cultural practices of diverse groups (Bean &amp; Stevens, 2007; Perez, 2008), and the requirements embodies in the Responsibilities and Competencies for Health Education Specialists (NCHEC, 2011), health education professionals continue to struggle with the challenges inherent in reaching individuals and families from racially, ethnically, culturally, and linguistically diverse groups (Centers for Disease Control and Prevention 2011a, 2011b; </w:t>
      </w:r>
      <w:proofErr w:type="spellStart"/>
      <w:r w:rsidRPr="001B20F9">
        <w:rPr>
          <w:sz w:val="22"/>
          <w:szCs w:val="22"/>
          <w:u w:val="none"/>
        </w:rPr>
        <w:t>Luquis</w:t>
      </w:r>
      <w:proofErr w:type="spellEnd"/>
      <w:r w:rsidRPr="001B20F9">
        <w:rPr>
          <w:sz w:val="22"/>
          <w:szCs w:val="22"/>
          <w:u w:val="none"/>
        </w:rPr>
        <w:t xml:space="preserve"> &amp; Pere</w:t>
      </w:r>
      <w:r w:rsidR="004E4D64">
        <w:rPr>
          <w:sz w:val="22"/>
          <w:szCs w:val="22"/>
          <w:u w:val="none"/>
        </w:rPr>
        <w:t xml:space="preserve">z, 2006; </w:t>
      </w:r>
      <w:proofErr w:type="spellStart"/>
      <w:r w:rsidR="004E4D64">
        <w:rPr>
          <w:sz w:val="22"/>
          <w:szCs w:val="22"/>
          <w:u w:val="none"/>
        </w:rPr>
        <w:t>Luquis</w:t>
      </w:r>
      <w:proofErr w:type="spellEnd"/>
      <w:r w:rsidR="004E4D64">
        <w:rPr>
          <w:sz w:val="22"/>
          <w:szCs w:val="22"/>
          <w:u w:val="none"/>
        </w:rPr>
        <w:t xml:space="preserve"> &amp; Perez, 2005).</w:t>
      </w:r>
    </w:p>
    <w:p w14:paraId="12AD0ABB" w14:textId="77777777" w:rsidR="004E4D64" w:rsidRDefault="004E4D64" w:rsidP="004E4D64">
      <w:pPr>
        <w:pStyle w:val="clear"/>
        <w:spacing w:before="0" w:beforeAutospacing="0" w:after="0"/>
        <w:rPr>
          <w:sz w:val="22"/>
          <w:szCs w:val="22"/>
          <w:u w:val="none"/>
        </w:rPr>
      </w:pPr>
    </w:p>
    <w:p w14:paraId="1381599D" w14:textId="77777777" w:rsidR="001B20F9" w:rsidRPr="001B20F9" w:rsidRDefault="001B20F9" w:rsidP="004E4D64">
      <w:pPr>
        <w:pStyle w:val="clear"/>
        <w:spacing w:before="0" w:beforeAutospacing="0" w:after="0"/>
        <w:rPr>
          <w:sz w:val="22"/>
          <w:szCs w:val="22"/>
          <w:u w:val="none"/>
        </w:rPr>
      </w:pPr>
      <w:r w:rsidRPr="001B20F9">
        <w:rPr>
          <w:sz w:val="22"/>
          <w:szCs w:val="22"/>
          <w:u w:val="none"/>
        </w:rPr>
        <w:t>The US Census Bureau defines Hispanics</w:t>
      </w:r>
      <w:r w:rsidRPr="001B20F9">
        <w:rPr>
          <w:rStyle w:val="FootnoteReference"/>
          <w:sz w:val="22"/>
          <w:szCs w:val="22"/>
          <w:u w:val="none"/>
        </w:rPr>
        <w:footnoteReference w:id="1"/>
      </w:r>
      <w:r w:rsidRPr="001B20F9">
        <w:rPr>
          <w:sz w:val="22"/>
          <w:szCs w:val="22"/>
          <w:u w:val="none"/>
        </w:rPr>
        <w:t xml:space="preserve"> as "persons who trace their origin or descent to Mexico, Puerto Rico, Cuba, Spanish speaking Central and South America countries, and other Spanish cultures," regardless of r</w:t>
      </w:r>
      <w:r w:rsidR="004E4D64">
        <w:rPr>
          <w:sz w:val="22"/>
          <w:szCs w:val="22"/>
          <w:u w:val="none"/>
        </w:rPr>
        <w:t xml:space="preserve">ace (US Census Bureau, 2010b). </w:t>
      </w:r>
      <w:r w:rsidRPr="001B20F9">
        <w:rPr>
          <w:sz w:val="22"/>
          <w:szCs w:val="22"/>
          <w:u w:val="none"/>
        </w:rPr>
        <w:t>Moreover, it is estimated that in 2010, Latinos became the largest minority group in the US and by 2050, they will account for 30% of the total U.S. population (Fry, 2</w:t>
      </w:r>
      <w:r w:rsidR="004E4D64">
        <w:rPr>
          <w:sz w:val="22"/>
          <w:szCs w:val="22"/>
          <w:u w:val="none"/>
        </w:rPr>
        <w:t>008; US Census Bureau, 2010a).</w:t>
      </w:r>
    </w:p>
    <w:p w14:paraId="64579FEB" w14:textId="77777777" w:rsidR="004E4D64" w:rsidRDefault="004E4D64" w:rsidP="004E4D64">
      <w:pPr>
        <w:pStyle w:val="clear"/>
        <w:spacing w:before="0" w:beforeAutospacing="0" w:after="0"/>
        <w:rPr>
          <w:sz w:val="22"/>
          <w:szCs w:val="22"/>
          <w:u w:val="none"/>
        </w:rPr>
      </w:pPr>
    </w:p>
    <w:p w14:paraId="109EE9F1" w14:textId="77777777" w:rsidR="001B20F9" w:rsidRPr="001B20F9" w:rsidRDefault="001B20F9" w:rsidP="004E4D64">
      <w:pPr>
        <w:pStyle w:val="clear"/>
        <w:spacing w:before="0" w:beforeAutospacing="0" w:after="0"/>
        <w:rPr>
          <w:sz w:val="22"/>
          <w:szCs w:val="22"/>
          <w:u w:val="none"/>
        </w:rPr>
      </w:pPr>
      <w:r w:rsidRPr="001B20F9">
        <w:rPr>
          <w:sz w:val="22"/>
          <w:szCs w:val="22"/>
          <w:u w:val="none"/>
        </w:rPr>
        <w:t xml:space="preserve">Latinos in the US represent a diverse array of groups, cultures, languages, and experiences.  In fact, Latinos in the US trace their roots to some 40 countries extending from the southern US border to the tip of the American continent in </w:t>
      </w:r>
      <w:r w:rsidRPr="001B20F9">
        <w:rPr>
          <w:i/>
          <w:sz w:val="22"/>
          <w:szCs w:val="22"/>
          <w:u w:val="none"/>
        </w:rPr>
        <w:t>Tierra del Fuego</w:t>
      </w:r>
      <w:r w:rsidRPr="001B20F9">
        <w:rPr>
          <w:sz w:val="22"/>
          <w:szCs w:val="22"/>
          <w:u w:val="none"/>
        </w:rPr>
        <w:t xml:space="preserve"> in Argentina.  While Latinos share many cultural characteristics (e.g., language, religion) there are in fact many variants among the different population groups.  While demographic data documents the growth of the US Hispanic population, less attention is given to the rich diversity of Latinos in the US. In 2008, Mexicans ranked as the largest subgroup accounting for 66 percent of Latinos in the US.  </w:t>
      </w:r>
      <w:proofErr w:type="gramStart"/>
      <w:r w:rsidRPr="001B20F9">
        <w:rPr>
          <w:sz w:val="22"/>
          <w:szCs w:val="22"/>
          <w:u w:val="none"/>
        </w:rPr>
        <w:t>Mexicans are followed by Central and South Americans, Puerto Ricans, and Cubans</w:t>
      </w:r>
      <w:proofErr w:type="gramEnd"/>
      <w:r w:rsidRPr="001B20F9">
        <w:rPr>
          <w:sz w:val="22"/>
          <w:szCs w:val="22"/>
          <w:u w:val="none"/>
        </w:rPr>
        <w:t xml:space="preserve"> (US Census Bureau, 20</w:t>
      </w:r>
      <w:r w:rsidR="004E4D64">
        <w:rPr>
          <w:sz w:val="22"/>
          <w:szCs w:val="22"/>
          <w:u w:val="none"/>
        </w:rPr>
        <w:t xml:space="preserve">10; U.S. Census Bureau, 2007). </w:t>
      </w:r>
      <w:r w:rsidRPr="001B20F9">
        <w:rPr>
          <w:sz w:val="22"/>
          <w:szCs w:val="22"/>
          <w:u w:val="none"/>
        </w:rPr>
        <w:t>The diaspora of groups encompassed under the Latino umbrella make it difficult to develop and implement culturally appropriate health education programs that take into account the rich tapestry of this population group (</w:t>
      </w:r>
      <w:proofErr w:type="spellStart"/>
      <w:r w:rsidRPr="001B20F9">
        <w:rPr>
          <w:sz w:val="22"/>
          <w:szCs w:val="22"/>
          <w:u w:val="none"/>
        </w:rPr>
        <w:t>Zavaleta</w:t>
      </w:r>
      <w:proofErr w:type="spellEnd"/>
      <w:r w:rsidRPr="001B20F9">
        <w:rPr>
          <w:sz w:val="22"/>
          <w:szCs w:val="22"/>
          <w:u w:val="none"/>
        </w:rPr>
        <w:t>, 2009).  Therefore, it is important for health educators to develop an overall understanding of differences and commonalities among the Latino subgroups.</w:t>
      </w:r>
    </w:p>
    <w:p w14:paraId="3B8187C9" w14:textId="77777777" w:rsidR="001B20F9" w:rsidRPr="001B20F9" w:rsidRDefault="001B20F9" w:rsidP="004E4D64">
      <w:pPr>
        <w:pStyle w:val="clear"/>
        <w:spacing w:before="0" w:beforeAutospacing="0" w:after="0"/>
        <w:rPr>
          <w:sz w:val="22"/>
          <w:szCs w:val="22"/>
          <w:u w:val="none"/>
        </w:rPr>
      </w:pPr>
    </w:p>
    <w:p w14:paraId="7342FD90" w14:textId="77777777" w:rsidR="001B20F9" w:rsidRPr="001B20F9" w:rsidRDefault="001B20F9" w:rsidP="004E4D64">
      <w:pPr>
        <w:pStyle w:val="BodyText"/>
        <w:jc w:val="both"/>
        <w:rPr>
          <w:b/>
          <w:szCs w:val="22"/>
        </w:rPr>
      </w:pPr>
      <w:r w:rsidRPr="001B20F9">
        <w:rPr>
          <w:b/>
          <w:szCs w:val="22"/>
        </w:rPr>
        <w:t>Language Preference</w:t>
      </w:r>
    </w:p>
    <w:p w14:paraId="6C066B74" w14:textId="77777777" w:rsidR="001B20F9" w:rsidRPr="001B20F9" w:rsidRDefault="001B20F9" w:rsidP="004E4D64">
      <w:pPr>
        <w:pStyle w:val="clear"/>
        <w:spacing w:before="0" w:beforeAutospacing="0" w:after="0"/>
        <w:rPr>
          <w:sz w:val="22"/>
          <w:szCs w:val="22"/>
        </w:rPr>
      </w:pPr>
      <w:r w:rsidRPr="001B20F9">
        <w:rPr>
          <w:sz w:val="22"/>
          <w:szCs w:val="22"/>
          <w:u w:val="none"/>
        </w:rPr>
        <w:t xml:space="preserve">Latinos </w:t>
      </w:r>
      <w:proofErr w:type="gramStart"/>
      <w:r w:rsidRPr="001B20F9">
        <w:rPr>
          <w:sz w:val="22"/>
          <w:szCs w:val="22"/>
          <w:u w:val="none"/>
        </w:rPr>
        <w:t>are often said to be characterized</w:t>
      </w:r>
      <w:proofErr w:type="gramEnd"/>
      <w:r w:rsidRPr="001B20F9">
        <w:rPr>
          <w:sz w:val="22"/>
          <w:szCs w:val="22"/>
          <w:u w:val="none"/>
        </w:rPr>
        <w:t xml:space="preserve"> by their ability to speak Spanish. Data from the US Census Bureau show that among Latinos aged 5 and older, more than three-fourths spoke a language other than English at home. The ability to speak more than one language at home, however, does not mean English deficiency since US Census Bureau data show that 65.2% of Latinos speak English well/very well and that 92% of second generation Latinos speak E</w:t>
      </w:r>
      <w:r w:rsidR="004E4D64">
        <w:rPr>
          <w:sz w:val="22"/>
          <w:szCs w:val="22"/>
          <w:u w:val="none"/>
        </w:rPr>
        <w:t>nglish well (US Census, 2010c).</w:t>
      </w:r>
    </w:p>
    <w:p w14:paraId="4D5541F1" w14:textId="77777777" w:rsidR="004E4D64" w:rsidRDefault="004E4D64" w:rsidP="004E4D64">
      <w:pPr>
        <w:pStyle w:val="BodyTextIndent"/>
        <w:spacing w:after="0"/>
        <w:ind w:left="0"/>
        <w:jc w:val="both"/>
        <w:rPr>
          <w:b/>
          <w:sz w:val="22"/>
          <w:szCs w:val="22"/>
        </w:rPr>
      </w:pPr>
    </w:p>
    <w:p w14:paraId="5ACF9DAE" w14:textId="77777777" w:rsidR="001B20F9" w:rsidRPr="001B20F9" w:rsidRDefault="001B20F9" w:rsidP="004E4D64">
      <w:pPr>
        <w:pStyle w:val="BodyTextIndent"/>
        <w:spacing w:after="0"/>
        <w:ind w:left="0"/>
        <w:jc w:val="both"/>
        <w:rPr>
          <w:b/>
          <w:sz w:val="22"/>
          <w:szCs w:val="22"/>
        </w:rPr>
      </w:pPr>
      <w:r w:rsidRPr="001B20F9">
        <w:rPr>
          <w:b/>
          <w:sz w:val="22"/>
          <w:szCs w:val="22"/>
        </w:rPr>
        <w:t>Immigration</w:t>
      </w:r>
    </w:p>
    <w:p w14:paraId="69E101F6" w14:textId="77777777" w:rsidR="001B20F9" w:rsidRPr="001B20F9" w:rsidRDefault="001B20F9" w:rsidP="004E4D64">
      <w:pPr>
        <w:pStyle w:val="BodyTextIndent"/>
        <w:spacing w:after="0"/>
        <w:ind w:left="0"/>
        <w:jc w:val="both"/>
        <w:rPr>
          <w:strike/>
          <w:sz w:val="22"/>
          <w:szCs w:val="22"/>
        </w:rPr>
      </w:pPr>
      <w:r w:rsidRPr="001B20F9">
        <w:rPr>
          <w:sz w:val="22"/>
          <w:szCs w:val="22"/>
        </w:rPr>
        <w:t>According to the 2009 American Community Survey, 18 million or (37.4%) of Latinos in the United States were foreign born.  Data from the Department of Homeland Security show that an estimated 8.5 of the 10.8 million unauthorized immigrants to the US are from the North American region including Canada, the Caribbean, Central America, and Mexico (Hoffer, Rytina, &amp; Baker, 2010).   These data has lead to the erroneous conclusion that most Latinos residing in the US are undocumented.  This misconception, however, is not supported by the data which shows that nearly three-quarters of Hispanics were U.S. citizens [in 2009], either through birth (about 63 percent) or naturalization (about 11 percen</w:t>
      </w:r>
      <w:r w:rsidR="004E4D64">
        <w:rPr>
          <w:sz w:val="22"/>
          <w:szCs w:val="22"/>
        </w:rPr>
        <w:t>t) (Pew Hispanic Center, 2011).</w:t>
      </w:r>
    </w:p>
    <w:p w14:paraId="78152DD4" w14:textId="77777777" w:rsidR="001B20F9" w:rsidRPr="001B20F9" w:rsidRDefault="001B20F9" w:rsidP="004E4D64">
      <w:pPr>
        <w:pStyle w:val="BodyTextIndent"/>
        <w:spacing w:after="0"/>
        <w:ind w:left="0"/>
        <w:jc w:val="both"/>
        <w:rPr>
          <w:strike/>
          <w:sz w:val="22"/>
          <w:szCs w:val="22"/>
        </w:rPr>
      </w:pPr>
    </w:p>
    <w:p w14:paraId="5F8C1AB2" w14:textId="77777777" w:rsidR="001B20F9" w:rsidRPr="001B20F9" w:rsidRDefault="001B20F9" w:rsidP="004E4D64">
      <w:pPr>
        <w:pStyle w:val="clear"/>
        <w:spacing w:before="0" w:beforeAutospacing="0" w:after="0"/>
        <w:rPr>
          <w:b/>
          <w:sz w:val="22"/>
          <w:szCs w:val="22"/>
          <w:u w:val="none"/>
        </w:rPr>
      </w:pPr>
      <w:r w:rsidRPr="001B20F9">
        <w:rPr>
          <w:b/>
          <w:sz w:val="22"/>
          <w:szCs w:val="22"/>
          <w:u w:val="none"/>
        </w:rPr>
        <w:t>Cultural Practices</w:t>
      </w:r>
    </w:p>
    <w:p w14:paraId="1CE90219" w14:textId="77777777" w:rsidR="001B20F9" w:rsidRPr="001B20F9" w:rsidRDefault="001B20F9" w:rsidP="004E4D64">
      <w:pPr>
        <w:pStyle w:val="clear"/>
        <w:spacing w:before="0" w:beforeAutospacing="0" w:after="0"/>
        <w:rPr>
          <w:sz w:val="22"/>
          <w:szCs w:val="22"/>
          <w:u w:val="none"/>
        </w:rPr>
      </w:pPr>
      <w:r w:rsidRPr="001B20F9">
        <w:rPr>
          <w:sz w:val="22"/>
          <w:szCs w:val="22"/>
          <w:u w:val="none"/>
        </w:rPr>
        <w:t xml:space="preserve">Traditional Latinos exhibit strong family ties to both the nuclear and their extended family.  Perez, Pinzon, and Garza (1997) have </w:t>
      </w:r>
      <w:proofErr w:type="gramStart"/>
      <w:r w:rsidRPr="001B20F9">
        <w:rPr>
          <w:sz w:val="22"/>
          <w:szCs w:val="22"/>
          <w:u w:val="none"/>
        </w:rPr>
        <w:t>suggested that</w:t>
      </w:r>
      <w:proofErr w:type="gramEnd"/>
      <w:r w:rsidRPr="001B20F9">
        <w:rPr>
          <w:sz w:val="22"/>
          <w:szCs w:val="22"/>
          <w:u w:val="none"/>
        </w:rPr>
        <w:t xml:space="preserve"> "A family’s traditions, beliefs, and biases in regard to health are generally assimilated by children at an early age” (p.1). Understanding the role of extended families in the health practices of US Latinos is paramount as these groups provide not only a strong social support network, but serve a source of self-esteem and identity.  </w:t>
      </w:r>
      <w:del w:id="0" w:author="Erualdo González" w:date="2012-05-29T08:52:00Z">
        <w:r w:rsidRPr="001B20F9" w:rsidDel="00092E54">
          <w:rPr>
            <w:sz w:val="22"/>
            <w:szCs w:val="22"/>
            <w:u w:val="none"/>
          </w:rPr>
          <w:delText xml:space="preserve"> </w:delText>
        </w:r>
      </w:del>
      <w:proofErr w:type="spellStart"/>
      <w:r w:rsidRPr="001B20F9">
        <w:rPr>
          <w:sz w:val="22"/>
          <w:szCs w:val="22"/>
          <w:u w:val="none"/>
        </w:rPr>
        <w:t>Zavaleta</w:t>
      </w:r>
      <w:proofErr w:type="spellEnd"/>
      <w:r w:rsidRPr="001B20F9">
        <w:rPr>
          <w:sz w:val="22"/>
          <w:szCs w:val="22"/>
          <w:u w:val="none"/>
        </w:rPr>
        <w:t xml:space="preserve"> (2009) has concluded that our failure to incorporate Latino cultural beliefs “…has greatly impaired our ability to deliver appropriate health care to Latinos especially immigrant Latinos” (p.2).</w:t>
      </w:r>
    </w:p>
    <w:p w14:paraId="32022DFC" w14:textId="77777777" w:rsidR="004E4D64" w:rsidRDefault="004E4D64" w:rsidP="004E4D64">
      <w:pPr>
        <w:pStyle w:val="clear"/>
        <w:spacing w:before="0" w:beforeAutospacing="0" w:after="0"/>
        <w:rPr>
          <w:sz w:val="22"/>
          <w:szCs w:val="22"/>
          <w:u w:val="none"/>
        </w:rPr>
      </w:pPr>
    </w:p>
    <w:p w14:paraId="18AAD92B" w14:textId="77777777" w:rsidR="001B20F9" w:rsidRPr="001B20F9" w:rsidRDefault="001B20F9" w:rsidP="004E4D64">
      <w:pPr>
        <w:pStyle w:val="clear"/>
        <w:spacing w:before="0" w:beforeAutospacing="0" w:after="0"/>
        <w:rPr>
          <w:sz w:val="22"/>
          <w:szCs w:val="22"/>
          <w:u w:val="none"/>
        </w:rPr>
      </w:pPr>
      <w:r w:rsidRPr="001B20F9">
        <w:rPr>
          <w:sz w:val="22"/>
          <w:szCs w:val="22"/>
          <w:u w:val="none"/>
        </w:rPr>
        <w:t>The purpose of this interactive learning activity is to explore Latino demographics, food preferences, and cultural-specific health practices and beliefs.  By the end of the Jeopardy type game, participants will be able to identify at least three traditional disease prevention modalities among Latinos, discuss three demographic characteristics of Latinos in the US; discuss three home remedies employed by Latinos; and identify three traditio</w:t>
      </w:r>
      <w:r w:rsidR="004E4D64">
        <w:rPr>
          <w:sz w:val="22"/>
          <w:szCs w:val="22"/>
          <w:u w:val="none"/>
        </w:rPr>
        <w:t xml:space="preserve">nal dishes enjoyed by Latinos. </w:t>
      </w:r>
      <w:r w:rsidRPr="001B20F9">
        <w:rPr>
          <w:sz w:val="22"/>
          <w:szCs w:val="22"/>
          <w:u w:val="none"/>
        </w:rPr>
        <w:t>The activity described in this paper is designed for English speaking audiences and may be used with junior or senior high school or college students.</w:t>
      </w:r>
    </w:p>
    <w:p w14:paraId="6D59F812" w14:textId="77777777" w:rsidR="004E4D64" w:rsidRDefault="004E4D64" w:rsidP="004E4D64">
      <w:pPr>
        <w:pStyle w:val="clear"/>
        <w:spacing w:before="0" w:beforeAutospacing="0" w:after="0"/>
        <w:rPr>
          <w:b/>
          <w:sz w:val="22"/>
          <w:szCs w:val="22"/>
          <w:u w:val="none"/>
        </w:rPr>
      </w:pPr>
    </w:p>
    <w:p w14:paraId="2F8EC63F" w14:textId="77777777" w:rsidR="001B20F9" w:rsidRPr="001B20F9" w:rsidRDefault="001B20F9" w:rsidP="004E4D64">
      <w:pPr>
        <w:pStyle w:val="clear"/>
        <w:spacing w:before="0" w:beforeAutospacing="0" w:after="0"/>
        <w:rPr>
          <w:sz w:val="22"/>
          <w:szCs w:val="22"/>
          <w:u w:val="none"/>
        </w:rPr>
      </w:pPr>
      <w:r w:rsidRPr="001B20F9">
        <w:rPr>
          <w:b/>
          <w:sz w:val="22"/>
          <w:szCs w:val="22"/>
          <w:u w:val="none"/>
        </w:rPr>
        <w:t>Procedures</w:t>
      </w:r>
      <w:r w:rsidRPr="001B20F9">
        <w:rPr>
          <w:sz w:val="22"/>
          <w:szCs w:val="22"/>
        </w:rPr>
        <w:br/>
      </w:r>
      <w:r w:rsidRPr="001B20F9">
        <w:rPr>
          <w:sz w:val="22"/>
          <w:szCs w:val="22"/>
          <w:u w:val="none"/>
        </w:rPr>
        <w:t xml:space="preserve">Jeopardy is an interactive game in which contestants answer questions from pre-determined categories.  In Jeopardy, each question is given a dollar value and each correct response increases the contestant’s earnings.  The contestant with the highest points at the end of the game wins a prize.  Contestants hold the board and have the right to answer the next question for as long as they provide correct responses to the question being asked.  Incorrect responses result in a reduction of points consistent with the point value assigned to the question and also in relinquishing control of the board.  Individuals not familiar with the game are encouraged to visit </w:t>
      </w:r>
      <w:r w:rsidRPr="004E4D64">
        <w:rPr>
          <w:sz w:val="22"/>
          <w:szCs w:val="22"/>
          <w:u w:val="none"/>
        </w:rPr>
        <w:t>http://www.jeopardy.com/</w:t>
      </w:r>
      <w:r w:rsidR="004E4D64">
        <w:rPr>
          <w:sz w:val="22"/>
          <w:szCs w:val="22"/>
          <w:u w:val="none"/>
        </w:rPr>
        <w:t xml:space="preserve"> to play some practice games.</w:t>
      </w:r>
    </w:p>
    <w:p w14:paraId="13583488" w14:textId="77777777" w:rsidR="004E4D64" w:rsidRDefault="004E4D64" w:rsidP="004E4D64">
      <w:pPr>
        <w:pStyle w:val="clear"/>
        <w:spacing w:before="0" w:beforeAutospacing="0" w:after="0"/>
        <w:rPr>
          <w:sz w:val="22"/>
          <w:szCs w:val="22"/>
          <w:u w:val="none"/>
        </w:rPr>
      </w:pPr>
    </w:p>
    <w:p w14:paraId="39E4107C" w14:textId="77777777" w:rsidR="00FC26AC" w:rsidRDefault="001B20F9" w:rsidP="004E4D64">
      <w:pPr>
        <w:pStyle w:val="clear"/>
        <w:spacing w:before="0" w:beforeAutospacing="0" w:after="0"/>
        <w:rPr>
          <w:sz w:val="22"/>
          <w:szCs w:val="22"/>
          <w:u w:val="none"/>
        </w:rPr>
        <w:sectPr w:rsidR="00FC26AC" w:rsidSect="004E4D64">
          <w:type w:val="continuous"/>
          <w:pgSz w:w="12240" w:h="15840"/>
          <w:pgMar w:top="1440" w:right="1440" w:bottom="1440" w:left="1440" w:header="720" w:footer="720" w:gutter="0"/>
          <w:cols w:num="2" w:space="720"/>
          <w:docGrid w:linePitch="360"/>
        </w:sectPr>
      </w:pPr>
      <w:r w:rsidRPr="001B20F9">
        <w:rPr>
          <w:sz w:val="22"/>
          <w:szCs w:val="22"/>
          <w:u w:val="none"/>
        </w:rPr>
        <w:t>The educational version of the Jeopardy game described in this paper consists of 25 questions found in five categories (see Table 1) and a final Jeopardy question (please see the accompanying Power Point presentation).  Activity leaders should review the questions in the Power Point presentation as well as the notes included in most of the slides to bec</w:t>
      </w:r>
      <w:r w:rsidR="004E4D64">
        <w:rPr>
          <w:sz w:val="22"/>
          <w:szCs w:val="22"/>
          <w:u w:val="none"/>
        </w:rPr>
        <w:t xml:space="preserve">ome familiar with the content. </w:t>
      </w:r>
      <w:r w:rsidRPr="001B20F9">
        <w:rPr>
          <w:sz w:val="22"/>
          <w:szCs w:val="22"/>
          <w:u w:val="none"/>
        </w:rPr>
        <w:t xml:space="preserve">These explanations expand on the information contained in the game and will enable the leader to answer basic questions; </w:t>
      </w:r>
    </w:p>
    <w:p w14:paraId="7D593F08" w14:textId="77777777" w:rsidR="00FC26AC" w:rsidRPr="00037E84" w:rsidRDefault="00FC26AC" w:rsidP="00037E84">
      <w:pPr>
        <w:pStyle w:val="NormalWeb"/>
        <w:spacing w:before="0" w:beforeAutospacing="0" w:after="0" w:afterAutospacing="0" w:line="480" w:lineRule="auto"/>
        <w:jc w:val="center"/>
        <w:rPr>
          <w:b/>
          <w:sz w:val="20"/>
          <w:szCs w:val="20"/>
        </w:rPr>
      </w:pPr>
      <w:r w:rsidRPr="00037E84">
        <w:rPr>
          <w:b/>
          <w:sz w:val="20"/>
          <w:szCs w:val="20"/>
        </w:rPr>
        <w:t>Table 1</w:t>
      </w:r>
    </w:p>
    <w:p w14:paraId="63D41BE0" w14:textId="77777777" w:rsidR="00FC26AC" w:rsidRPr="00FE0AFB" w:rsidRDefault="00FC26AC" w:rsidP="00037E84">
      <w:pPr>
        <w:pStyle w:val="NormalWeb"/>
        <w:spacing w:before="0" w:beforeAutospacing="0" w:after="0" w:afterAutospacing="0"/>
        <w:jc w:val="center"/>
        <w:rPr>
          <w:sz w:val="20"/>
          <w:szCs w:val="20"/>
        </w:rPr>
      </w:pPr>
      <w:r w:rsidRPr="00FE0AFB">
        <w:rPr>
          <w:sz w:val="20"/>
          <w:szCs w:val="20"/>
        </w:rPr>
        <w:t>Jeopardy Game Categories</w:t>
      </w:r>
    </w:p>
    <w:tbl>
      <w:tblPr>
        <w:tblW w:w="8201" w:type="dxa"/>
        <w:jc w:val="center"/>
        <w:tblInd w:w="1440" w:type="dxa"/>
        <w:tblLayout w:type="fixed"/>
        <w:tblLook w:val="04A0" w:firstRow="1" w:lastRow="0" w:firstColumn="1" w:lastColumn="0" w:noHBand="0" w:noVBand="1"/>
      </w:tblPr>
      <w:tblGrid>
        <w:gridCol w:w="1256"/>
        <w:gridCol w:w="3082"/>
        <w:gridCol w:w="3863"/>
      </w:tblGrid>
      <w:tr w:rsidR="00FC26AC" w:rsidRPr="00FE0AFB" w14:paraId="654066F8" w14:textId="77777777" w:rsidTr="00037E84">
        <w:trPr>
          <w:jc w:val="center"/>
        </w:trPr>
        <w:tc>
          <w:tcPr>
            <w:tcW w:w="1256" w:type="dxa"/>
            <w:tcBorders>
              <w:top w:val="single" w:sz="4" w:space="0" w:color="auto"/>
              <w:bottom w:val="single" w:sz="4" w:space="0" w:color="auto"/>
            </w:tcBorders>
          </w:tcPr>
          <w:p w14:paraId="5B3E57E2" w14:textId="77777777" w:rsidR="00FC26AC" w:rsidRPr="00FE0AFB" w:rsidRDefault="00FC26AC" w:rsidP="00FC26AC">
            <w:pPr>
              <w:pStyle w:val="NormalWeb"/>
              <w:spacing w:before="0" w:beforeAutospacing="0" w:after="0" w:afterAutospacing="0"/>
              <w:rPr>
                <w:sz w:val="20"/>
                <w:szCs w:val="20"/>
              </w:rPr>
            </w:pPr>
            <w:r w:rsidRPr="00FE0AFB">
              <w:rPr>
                <w:sz w:val="20"/>
                <w:szCs w:val="20"/>
              </w:rPr>
              <w:t>Category</w:t>
            </w:r>
          </w:p>
        </w:tc>
        <w:tc>
          <w:tcPr>
            <w:tcW w:w="3082" w:type="dxa"/>
            <w:tcBorders>
              <w:top w:val="single" w:sz="4" w:space="0" w:color="auto"/>
              <w:bottom w:val="single" w:sz="4" w:space="0" w:color="auto"/>
            </w:tcBorders>
          </w:tcPr>
          <w:p w14:paraId="01BE6E72" w14:textId="77777777" w:rsidR="00FC26AC" w:rsidRPr="00FE0AFB" w:rsidRDefault="00FC26AC" w:rsidP="00FC26AC">
            <w:pPr>
              <w:pStyle w:val="NormalWeb"/>
              <w:spacing w:before="0" w:beforeAutospacing="0" w:after="0" w:afterAutospacing="0"/>
              <w:rPr>
                <w:sz w:val="20"/>
                <w:szCs w:val="20"/>
              </w:rPr>
            </w:pPr>
            <w:r w:rsidRPr="00FE0AFB">
              <w:rPr>
                <w:sz w:val="20"/>
                <w:szCs w:val="20"/>
              </w:rPr>
              <w:t>Description</w:t>
            </w:r>
          </w:p>
        </w:tc>
        <w:tc>
          <w:tcPr>
            <w:tcW w:w="3863" w:type="dxa"/>
            <w:tcBorders>
              <w:top w:val="single" w:sz="4" w:space="0" w:color="auto"/>
              <w:bottom w:val="single" w:sz="4" w:space="0" w:color="auto"/>
            </w:tcBorders>
          </w:tcPr>
          <w:p w14:paraId="019FA9C4" w14:textId="77777777" w:rsidR="00FC26AC" w:rsidRPr="00FE0AFB" w:rsidRDefault="00FC26AC" w:rsidP="00FC26AC">
            <w:pPr>
              <w:pStyle w:val="NormalWeb"/>
              <w:spacing w:before="0" w:beforeAutospacing="0" w:after="0" w:afterAutospacing="0"/>
              <w:rPr>
                <w:sz w:val="20"/>
                <w:szCs w:val="20"/>
              </w:rPr>
            </w:pPr>
            <w:r w:rsidRPr="00FE0AFB">
              <w:rPr>
                <w:sz w:val="20"/>
                <w:szCs w:val="20"/>
              </w:rPr>
              <w:t>Selected Sources for Additional Information</w:t>
            </w:r>
          </w:p>
        </w:tc>
      </w:tr>
      <w:tr w:rsidR="00FC26AC" w:rsidRPr="00FE0AFB" w14:paraId="0C044E76" w14:textId="77777777" w:rsidTr="00037E84">
        <w:trPr>
          <w:jc w:val="center"/>
        </w:trPr>
        <w:tc>
          <w:tcPr>
            <w:tcW w:w="1256" w:type="dxa"/>
            <w:tcBorders>
              <w:top w:val="single" w:sz="4" w:space="0" w:color="auto"/>
            </w:tcBorders>
          </w:tcPr>
          <w:p w14:paraId="72BB33B8" w14:textId="77777777" w:rsidR="00FC26AC" w:rsidRPr="00FE0AFB" w:rsidRDefault="00FC26AC" w:rsidP="00FC26AC">
            <w:pPr>
              <w:pStyle w:val="NormalWeb"/>
              <w:spacing w:before="0" w:beforeAutospacing="0" w:after="0" w:afterAutospacing="0"/>
              <w:rPr>
                <w:sz w:val="20"/>
                <w:szCs w:val="20"/>
              </w:rPr>
            </w:pPr>
            <w:proofErr w:type="spellStart"/>
            <w:r w:rsidRPr="00FE0AFB">
              <w:rPr>
                <w:sz w:val="20"/>
                <w:szCs w:val="20"/>
              </w:rPr>
              <w:t>Sabroso</w:t>
            </w:r>
            <w:proofErr w:type="spellEnd"/>
            <w:r w:rsidRPr="00FE0AFB">
              <w:rPr>
                <w:sz w:val="20"/>
                <w:szCs w:val="20"/>
              </w:rPr>
              <w:t xml:space="preserve">.  </w:t>
            </w:r>
          </w:p>
        </w:tc>
        <w:tc>
          <w:tcPr>
            <w:tcW w:w="3082" w:type="dxa"/>
            <w:tcBorders>
              <w:top w:val="single" w:sz="4" w:space="0" w:color="auto"/>
            </w:tcBorders>
          </w:tcPr>
          <w:p w14:paraId="12BBFBB4" w14:textId="77777777" w:rsidR="00FC26AC" w:rsidRPr="00FE0AFB" w:rsidRDefault="00FC26AC" w:rsidP="00FC26AC">
            <w:pPr>
              <w:pStyle w:val="NormalWeb"/>
              <w:spacing w:before="0" w:beforeAutospacing="0" w:after="0" w:afterAutospacing="0"/>
              <w:rPr>
                <w:sz w:val="20"/>
                <w:szCs w:val="20"/>
              </w:rPr>
            </w:pPr>
            <w:r w:rsidRPr="00FE0AFB">
              <w:rPr>
                <w:sz w:val="20"/>
                <w:szCs w:val="20"/>
              </w:rPr>
              <w:t>This category presents “traditional” dishes from five Latin American countries.</w:t>
            </w:r>
          </w:p>
        </w:tc>
        <w:tc>
          <w:tcPr>
            <w:tcW w:w="3863" w:type="dxa"/>
            <w:tcBorders>
              <w:top w:val="single" w:sz="4" w:space="0" w:color="auto"/>
            </w:tcBorders>
          </w:tcPr>
          <w:p w14:paraId="50B3E48F" w14:textId="77777777" w:rsidR="00FC26AC" w:rsidRPr="00FE0AFB" w:rsidRDefault="00FC26AC" w:rsidP="00FC26AC">
            <w:pPr>
              <w:pStyle w:val="NormalWeb"/>
              <w:spacing w:before="0" w:beforeAutospacing="0" w:after="0" w:afterAutospacing="0"/>
              <w:jc w:val="both"/>
              <w:rPr>
                <w:sz w:val="20"/>
                <w:szCs w:val="20"/>
              </w:rPr>
            </w:pPr>
            <w:r w:rsidRPr="00037E84">
              <w:rPr>
                <w:sz w:val="20"/>
                <w:szCs w:val="20"/>
              </w:rPr>
              <w:t>http://lanic.utexas.edu/la/region/food/</w:t>
            </w:r>
          </w:p>
          <w:p w14:paraId="20541652" w14:textId="77777777" w:rsidR="00FC26AC" w:rsidRPr="00FE0AFB" w:rsidRDefault="00FC26AC" w:rsidP="00FC26AC">
            <w:pPr>
              <w:pStyle w:val="NormalWeb"/>
              <w:spacing w:before="0" w:beforeAutospacing="0" w:after="0" w:afterAutospacing="0"/>
              <w:jc w:val="both"/>
              <w:rPr>
                <w:sz w:val="20"/>
                <w:szCs w:val="20"/>
              </w:rPr>
            </w:pPr>
            <w:r w:rsidRPr="00FE0AFB">
              <w:rPr>
                <w:sz w:val="20"/>
                <w:szCs w:val="20"/>
              </w:rPr>
              <w:t>http://www.carnegielibrary.org/research/food/cuisines/latin.html</w:t>
            </w:r>
          </w:p>
          <w:p w14:paraId="54E90F7F" w14:textId="77777777" w:rsidR="00FC26AC" w:rsidRPr="00FE0AFB" w:rsidRDefault="00FC26AC" w:rsidP="00FC26AC">
            <w:pPr>
              <w:pStyle w:val="NormalWeb"/>
              <w:spacing w:before="0" w:beforeAutospacing="0" w:after="0" w:afterAutospacing="0"/>
              <w:jc w:val="both"/>
              <w:rPr>
                <w:sz w:val="20"/>
                <w:szCs w:val="20"/>
              </w:rPr>
            </w:pPr>
          </w:p>
        </w:tc>
      </w:tr>
      <w:tr w:rsidR="00FC26AC" w:rsidRPr="00FE0AFB" w14:paraId="79A513B2" w14:textId="77777777" w:rsidTr="00037E84">
        <w:trPr>
          <w:jc w:val="center"/>
        </w:trPr>
        <w:tc>
          <w:tcPr>
            <w:tcW w:w="1256" w:type="dxa"/>
          </w:tcPr>
          <w:p w14:paraId="1C42B7BF" w14:textId="77777777" w:rsidR="00FC26AC" w:rsidRPr="00FE0AFB" w:rsidRDefault="00FC26AC" w:rsidP="00FC26AC">
            <w:pPr>
              <w:pStyle w:val="NormalWeb"/>
              <w:spacing w:before="0" w:beforeAutospacing="0" w:after="0" w:afterAutospacing="0"/>
              <w:rPr>
                <w:sz w:val="20"/>
                <w:szCs w:val="20"/>
              </w:rPr>
            </w:pPr>
            <w:r w:rsidRPr="00FE0AFB">
              <w:rPr>
                <w:sz w:val="20"/>
                <w:szCs w:val="20"/>
              </w:rPr>
              <w:t>Disease Prevention</w:t>
            </w:r>
          </w:p>
        </w:tc>
        <w:tc>
          <w:tcPr>
            <w:tcW w:w="3082" w:type="dxa"/>
          </w:tcPr>
          <w:p w14:paraId="468FDAAD" w14:textId="77777777" w:rsidR="00FC26AC" w:rsidRPr="00FE0AFB" w:rsidRDefault="00FC26AC" w:rsidP="00FC26AC">
            <w:pPr>
              <w:pStyle w:val="NormalWeb"/>
              <w:spacing w:before="0" w:beforeAutospacing="0" w:after="0" w:afterAutospacing="0"/>
              <w:rPr>
                <w:sz w:val="20"/>
                <w:szCs w:val="20"/>
              </w:rPr>
            </w:pPr>
            <w:r w:rsidRPr="00FE0AFB">
              <w:rPr>
                <w:sz w:val="20"/>
                <w:szCs w:val="20"/>
              </w:rPr>
              <w:t>This category explores health practices employed in Latin American countries to prevent disease and infirmity</w:t>
            </w:r>
          </w:p>
        </w:tc>
        <w:tc>
          <w:tcPr>
            <w:tcW w:w="3863" w:type="dxa"/>
          </w:tcPr>
          <w:p w14:paraId="17C4F2D8" w14:textId="77777777" w:rsidR="00FC26AC" w:rsidRPr="00FE0AFB" w:rsidRDefault="00FC26AC" w:rsidP="00FC26AC">
            <w:pPr>
              <w:pStyle w:val="NormalWeb"/>
              <w:spacing w:before="0" w:beforeAutospacing="0" w:after="0" w:afterAutospacing="0"/>
              <w:jc w:val="both"/>
              <w:rPr>
                <w:sz w:val="20"/>
                <w:szCs w:val="20"/>
              </w:rPr>
            </w:pPr>
          </w:p>
        </w:tc>
      </w:tr>
      <w:tr w:rsidR="00FC26AC" w:rsidRPr="00FE0AFB" w14:paraId="1C157722" w14:textId="77777777" w:rsidTr="00037E84">
        <w:trPr>
          <w:jc w:val="center"/>
        </w:trPr>
        <w:tc>
          <w:tcPr>
            <w:tcW w:w="1256" w:type="dxa"/>
          </w:tcPr>
          <w:p w14:paraId="4CF17B97" w14:textId="77777777" w:rsidR="00FC26AC" w:rsidRPr="00FE0AFB" w:rsidRDefault="00FC26AC" w:rsidP="00FC26AC">
            <w:pPr>
              <w:pStyle w:val="NormalWeb"/>
              <w:spacing w:before="0" w:beforeAutospacing="0" w:after="0" w:afterAutospacing="0"/>
              <w:rPr>
                <w:sz w:val="20"/>
                <w:szCs w:val="20"/>
              </w:rPr>
            </w:pPr>
            <w:r w:rsidRPr="00FE0AFB">
              <w:rPr>
                <w:sz w:val="20"/>
                <w:szCs w:val="20"/>
              </w:rPr>
              <w:t>Who are they?</w:t>
            </w:r>
          </w:p>
        </w:tc>
        <w:tc>
          <w:tcPr>
            <w:tcW w:w="3082" w:type="dxa"/>
          </w:tcPr>
          <w:p w14:paraId="671F274B" w14:textId="77777777" w:rsidR="00FC26AC" w:rsidRPr="00FE0AFB" w:rsidRDefault="00FC26AC" w:rsidP="00FC26AC">
            <w:pPr>
              <w:pStyle w:val="NormalWeb"/>
              <w:spacing w:before="0" w:beforeAutospacing="0" w:after="0" w:afterAutospacing="0"/>
              <w:rPr>
                <w:sz w:val="20"/>
                <w:szCs w:val="20"/>
              </w:rPr>
            </w:pPr>
            <w:r w:rsidRPr="00FE0AFB">
              <w:rPr>
                <w:sz w:val="20"/>
                <w:szCs w:val="20"/>
              </w:rPr>
              <w:t>This category explores Latino demographics in the US, including country of residence.</w:t>
            </w:r>
          </w:p>
        </w:tc>
        <w:tc>
          <w:tcPr>
            <w:tcW w:w="3863" w:type="dxa"/>
          </w:tcPr>
          <w:p w14:paraId="3133677A" w14:textId="77777777" w:rsidR="00FC26AC" w:rsidRPr="00FE0AFB" w:rsidRDefault="00FC26AC" w:rsidP="00FC26AC">
            <w:pPr>
              <w:pStyle w:val="NormalWeb"/>
              <w:spacing w:before="0" w:beforeAutospacing="0" w:after="0" w:afterAutospacing="0"/>
              <w:jc w:val="both"/>
              <w:rPr>
                <w:sz w:val="20"/>
                <w:szCs w:val="20"/>
              </w:rPr>
            </w:pPr>
            <w:r w:rsidRPr="00FE0AFB">
              <w:rPr>
                <w:sz w:val="20"/>
                <w:szCs w:val="20"/>
              </w:rPr>
              <w:t>http://www.census.gov/prod/cen2010/briefs/c2010br-04.pdf.</w:t>
            </w:r>
          </w:p>
        </w:tc>
      </w:tr>
      <w:tr w:rsidR="00FC26AC" w:rsidRPr="00FE0AFB" w14:paraId="54AD535C" w14:textId="77777777" w:rsidTr="00037E84">
        <w:trPr>
          <w:jc w:val="center"/>
        </w:trPr>
        <w:tc>
          <w:tcPr>
            <w:tcW w:w="1256" w:type="dxa"/>
          </w:tcPr>
          <w:p w14:paraId="7E881596" w14:textId="77777777" w:rsidR="00FC26AC" w:rsidRPr="00FE0AFB" w:rsidRDefault="00FC26AC" w:rsidP="00FC26AC">
            <w:pPr>
              <w:pStyle w:val="NormalWeb"/>
              <w:spacing w:before="0" w:beforeAutospacing="0" w:after="0" w:afterAutospacing="0"/>
              <w:rPr>
                <w:sz w:val="20"/>
                <w:szCs w:val="20"/>
              </w:rPr>
            </w:pPr>
            <w:r w:rsidRPr="00FE0AFB">
              <w:rPr>
                <w:sz w:val="20"/>
                <w:szCs w:val="20"/>
              </w:rPr>
              <w:t>Health Status</w:t>
            </w:r>
          </w:p>
        </w:tc>
        <w:tc>
          <w:tcPr>
            <w:tcW w:w="3082" w:type="dxa"/>
          </w:tcPr>
          <w:p w14:paraId="45B10B36" w14:textId="77777777" w:rsidR="00FC26AC" w:rsidRPr="00FE0AFB" w:rsidRDefault="00FC26AC" w:rsidP="00FC26AC">
            <w:pPr>
              <w:pStyle w:val="NormalWeb"/>
              <w:spacing w:before="0" w:beforeAutospacing="0" w:after="0" w:afterAutospacing="0"/>
              <w:rPr>
                <w:sz w:val="20"/>
                <w:szCs w:val="20"/>
              </w:rPr>
            </w:pPr>
            <w:r w:rsidRPr="00FE0AFB">
              <w:rPr>
                <w:sz w:val="20"/>
                <w:szCs w:val="20"/>
              </w:rPr>
              <w:t xml:space="preserve">This category explores </w:t>
            </w:r>
            <w:proofErr w:type="gramStart"/>
            <w:r w:rsidRPr="00FE0AFB">
              <w:rPr>
                <w:sz w:val="20"/>
                <w:szCs w:val="20"/>
              </w:rPr>
              <w:t>the  health</w:t>
            </w:r>
            <w:proofErr w:type="gramEnd"/>
            <w:r w:rsidRPr="00FE0AFB">
              <w:rPr>
                <w:sz w:val="20"/>
                <w:szCs w:val="20"/>
              </w:rPr>
              <w:t xml:space="preserve"> status of Latinos in the US</w:t>
            </w:r>
          </w:p>
        </w:tc>
        <w:tc>
          <w:tcPr>
            <w:tcW w:w="3863" w:type="dxa"/>
          </w:tcPr>
          <w:p w14:paraId="3407E9DD" w14:textId="77777777" w:rsidR="00FC26AC" w:rsidRPr="00FE0AFB" w:rsidRDefault="00FC26AC" w:rsidP="00FC26AC">
            <w:pPr>
              <w:pStyle w:val="NormalWeb"/>
              <w:spacing w:before="0" w:beforeAutospacing="0" w:after="0" w:afterAutospacing="0"/>
              <w:jc w:val="both"/>
              <w:rPr>
                <w:sz w:val="20"/>
                <w:szCs w:val="20"/>
              </w:rPr>
            </w:pPr>
            <w:r w:rsidRPr="00037E84">
              <w:rPr>
                <w:sz w:val="20"/>
                <w:szCs w:val="20"/>
              </w:rPr>
              <w:t>http://www.cdc.gov/nchs/fastats/hispanic_health.htm</w:t>
            </w:r>
          </w:p>
          <w:p w14:paraId="2EA3958F" w14:textId="77777777" w:rsidR="00FC26AC" w:rsidRPr="00FE0AFB" w:rsidRDefault="00FC26AC" w:rsidP="00FC26AC">
            <w:pPr>
              <w:pStyle w:val="NormalWeb"/>
              <w:spacing w:before="0" w:beforeAutospacing="0" w:after="0" w:afterAutospacing="0"/>
              <w:jc w:val="both"/>
              <w:rPr>
                <w:sz w:val="20"/>
                <w:szCs w:val="20"/>
              </w:rPr>
            </w:pPr>
            <w:r w:rsidRPr="00FE0AFB">
              <w:rPr>
                <w:sz w:val="20"/>
                <w:szCs w:val="20"/>
              </w:rPr>
              <w:t>http://www.ncbi.nlm.nih.gov/books/NBK19899/</w:t>
            </w:r>
          </w:p>
        </w:tc>
      </w:tr>
      <w:tr w:rsidR="00FC26AC" w:rsidRPr="00FE0AFB" w14:paraId="3BE790C5" w14:textId="77777777" w:rsidTr="00037E84">
        <w:trPr>
          <w:jc w:val="center"/>
        </w:trPr>
        <w:tc>
          <w:tcPr>
            <w:tcW w:w="1256" w:type="dxa"/>
            <w:tcBorders>
              <w:bottom w:val="single" w:sz="4" w:space="0" w:color="auto"/>
            </w:tcBorders>
          </w:tcPr>
          <w:p w14:paraId="1863C40B" w14:textId="77777777" w:rsidR="00FC26AC" w:rsidRPr="00FE0AFB" w:rsidRDefault="00FC26AC" w:rsidP="00FC26AC">
            <w:pPr>
              <w:pStyle w:val="NormalWeb"/>
              <w:spacing w:before="0" w:beforeAutospacing="0" w:after="0" w:afterAutospacing="0"/>
              <w:rPr>
                <w:sz w:val="20"/>
                <w:szCs w:val="20"/>
              </w:rPr>
            </w:pPr>
            <w:r w:rsidRPr="00FE0AFB">
              <w:rPr>
                <w:i/>
                <w:sz w:val="20"/>
                <w:szCs w:val="20"/>
              </w:rPr>
              <w:t xml:space="preserve">Me </w:t>
            </w:r>
            <w:proofErr w:type="spellStart"/>
            <w:r w:rsidRPr="00FE0AFB">
              <w:rPr>
                <w:i/>
                <w:sz w:val="20"/>
                <w:szCs w:val="20"/>
              </w:rPr>
              <w:t>Duele</w:t>
            </w:r>
            <w:proofErr w:type="spellEnd"/>
            <w:r w:rsidRPr="00FE0AFB">
              <w:rPr>
                <w:sz w:val="20"/>
                <w:szCs w:val="20"/>
              </w:rPr>
              <w:t xml:space="preserve"> “It hurts”</w:t>
            </w:r>
          </w:p>
        </w:tc>
        <w:tc>
          <w:tcPr>
            <w:tcW w:w="3082" w:type="dxa"/>
            <w:tcBorders>
              <w:bottom w:val="single" w:sz="4" w:space="0" w:color="auto"/>
            </w:tcBorders>
          </w:tcPr>
          <w:p w14:paraId="4664A8BF" w14:textId="77777777" w:rsidR="00FC26AC" w:rsidRPr="00FE0AFB" w:rsidRDefault="00FC26AC" w:rsidP="00FC26AC">
            <w:pPr>
              <w:pStyle w:val="NormalWeb"/>
              <w:spacing w:before="0" w:beforeAutospacing="0" w:after="0" w:afterAutospacing="0"/>
              <w:rPr>
                <w:sz w:val="20"/>
                <w:szCs w:val="20"/>
              </w:rPr>
            </w:pPr>
            <w:r w:rsidRPr="00FE0AFB">
              <w:rPr>
                <w:sz w:val="20"/>
                <w:szCs w:val="20"/>
              </w:rPr>
              <w:t>This category explores home remedies employed in Latin American Countries.</w:t>
            </w:r>
          </w:p>
        </w:tc>
        <w:tc>
          <w:tcPr>
            <w:tcW w:w="3863" w:type="dxa"/>
            <w:tcBorders>
              <w:bottom w:val="single" w:sz="4" w:space="0" w:color="auto"/>
            </w:tcBorders>
          </w:tcPr>
          <w:p w14:paraId="1EAA7D8E" w14:textId="77777777" w:rsidR="00FC26AC" w:rsidRPr="00FE0AFB" w:rsidRDefault="00FC26AC" w:rsidP="00FC26AC">
            <w:pPr>
              <w:pStyle w:val="NormalWeb"/>
              <w:spacing w:before="0" w:beforeAutospacing="0" w:after="0" w:afterAutospacing="0"/>
              <w:jc w:val="both"/>
              <w:rPr>
                <w:sz w:val="20"/>
                <w:szCs w:val="20"/>
              </w:rPr>
            </w:pPr>
            <w:r w:rsidRPr="00037E84">
              <w:rPr>
                <w:sz w:val="20"/>
                <w:szCs w:val="20"/>
              </w:rPr>
              <w:t>http://www.arizona.edu/Library/Clous_VJ.pdf</w:t>
            </w:r>
          </w:p>
          <w:p w14:paraId="0D9F8615" w14:textId="77777777" w:rsidR="00FC26AC" w:rsidRPr="00FE0AFB" w:rsidRDefault="00FC26AC" w:rsidP="00FC26AC">
            <w:pPr>
              <w:pStyle w:val="NormalWeb"/>
              <w:spacing w:before="0" w:beforeAutospacing="0" w:after="0" w:afterAutospacing="0"/>
              <w:jc w:val="both"/>
              <w:rPr>
                <w:sz w:val="20"/>
                <w:szCs w:val="20"/>
              </w:rPr>
            </w:pPr>
          </w:p>
        </w:tc>
      </w:tr>
    </w:tbl>
    <w:p w14:paraId="3DA9B7CC" w14:textId="77777777" w:rsidR="00FC26AC" w:rsidRPr="00FC26AC" w:rsidRDefault="00FC26AC" w:rsidP="00FC26AC">
      <w:pPr>
        <w:rPr>
          <w:sz w:val="20"/>
          <w:szCs w:val="20"/>
        </w:rPr>
        <w:sectPr w:rsidR="00FC26AC" w:rsidRPr="00FC26AC" w:rsidSect="00037E84">
          <w:type w:val="continuous"/>
          <w:pgSz w:w="12240" w:h="15840"/>
          <w:pgMar w:top="1440" w:right="1440" w:bottom="1440" w:left="1440" w:header="720" w:footer="720" w:gutter="0"/>
          <w:cols w:space="720"/>
          <w:docGrid w:linePitch="360"/>
        </w:sectPr>
      </w:pPr>
    </w:p>
    <w:p w14:paraId="32FCEBF8" w14:textId="77777777" w:rsidR="00FC26AC" w:rsidRDefault="00FC26AC" w:rsidP="004E4D64">
      <w:pPr>
        <w:pStyle w:val="clear"/>
        <w:spacing w:before="0" w:beforeAutospacing="0" w:after="0"/>
        <w:rPr>
          <w:sz w:val="22"/>
          <w:szCs w:val="22"/>
          <w:u w:val="none"/>
        </w:rPr>
      </w:pPr>
    </w:p>
    <w:p w14:paraId="2BF56149" w14:textId="77777777" w:rsidR="00FC26AC" w:rsidRDefault="00FC26AC" w:rsidP="004E4D64">
      <w:pPr>
        <w:pStyle w:val="clear"/>
        <w:spacing w:before="0" w:beforeAutospacing="0" w:after="0"/>
        <w:rPr>
          <w:sz w:val="22"/>
          <w:szCs w:val="22"/>
          <w:u w:val="none"/>
        </w:rPr>
      </w:pPr>
    </w:p>
    <w:p w14:paraId="7FA1FF56" w14:textId="77777777" w:rsidR="00FC26AC" w:rsidRDefault="00FC26AC" w:rsidP="004E4D64">
      <w:pPr>
        <w:pStyle w:val="clear"/>
        <w:spacing w:before="0" w:beforeAutospacing="0" w:after="0"/>
        <w:rPr>
          <w:sz w:val="22"/>
          <w:szCs w:val="22"/>
          <w:u w:val="none"/>
        </w:rPr>
      </w:pPr>
    </w:p>
    <w:p w14:paraId="04CD93EF" w14:textId="77777777" w:rsidR="00FC26AC" w:rsidRDefault="00FC26AC" w:rsidP="004E4D64">
      <w:pPr>
        <w:pStyle w:val="clear"/>
        <w:spacing w:before="0" w:beforeAutospacing="0" w:after="0"/>
        <w:rPr>
          <w:sz w:val="22"/>
          <w:szCs w:val="22"/>
          <w:u w:val="none"/>
        </w:rPr>
        <w:sectPr w:rsidR="00FC26AC" w:rsidSect="004E4D64">
          <w:type w:val="continuous"/>
          <w:pgSz w:w="12240" w:h="15840"/>
          <w:pgMar w:top="1440" w:right="1440" w:bottom="1440" w:left="1440" w:header="720" w:footer="720" w:gutter="0"/>
          <w:cols w:num="2" w:space="720"/>
          <w:docGrid w:linePitch="360"/>
        </w:sectPr>
      </w:pPr>
    </w:p>
    <w:p w14:paraId="5DB0FDE1" w14:textId="77777777" w:rsidR="001B20F9" w:rsidRPr="001B20F9" w:rsidRDefault="001B20F9" w:rsidP="004E4D64">
      <w:pPr>
        <w:pStyle w:val="clear"/>
        <w:spacing w:before="0" w:beforeAutospacing="0" w:after="0"/>
        <w:rPr>
          <w:sz w:val="22"/>
          <w:szCs w:val="22"/>
          <w:u w:val="none"/>
        </w:rPr>
      </w:pPr>
      <w:proofErr w:type="gramStart"/>
      <w:r w:rsidRPr="001B20F9">
        <w:rPr>
          <w:sz w:val="22"/>
          <w:szCs w:val="22"/>
          <w:u w:val="none"/>
        </w:rPr>
        <w:t>additional</w:t>
      </w:r>
      <w:proofErr w:type="gramEnd"/>
      <w:r w:rsidRPr="001B20F9">
        <w:rPr>
          <w:sz w:val="22"/>
          <w:szCs w:val="22"/>
          <w:u w:val="none"/>
        </w:rPr>
        <w:t xml:space="preserve"> links to reliable sources of information about L</w:t>
      </w:r>
      <w:r w:rsidR="004E4D64">
        <w:rPr>
          <w:sz w:val="22"/>
          <w:szCs w:val="22"/>
          <w:u w:val="none"/>
        </w:rPr>
        <w:t>atinos is included in Table 1.</w:t>
      </w:r>
      <w:r w:rsidRPr="001B20F9">
        <w:rPr>
          <w:sz w:val="22"/>
          <w:szCs w:val="22"/>
          <w:u w:val="none"/>
        </w:rPr>
        <w:t>It should be noted that the information contained in the slides is not meant to be exhaustive and that activity leaders are responsible for becoming better informed about the issues covered in the slides.</w:t>
      </w:r>
    </w:p>
    <w:p w14:paraId="6A089A92" w14:textId="77777777" w:rsidR="004E4D64" w:rsidRDefault="004E4D64" w:rsidP="004E4D64">
      <w:pPr>
        <w:pStyle w:val="clear"/>
        <w:spacing w:before="0" w:beforeAutospacing="0" w:after="0"/>
        <w:rPr>
          <w:sz w:val="22"/>
          <w:szCs w:val="22"/>
          <w:u w:val="none"/>
        </w:rPr>
      </w:pPr>
    </w:p>
    <w:p w14:paraId="671EBA37" w14:textId="77777777" w:rsidR="001B20F9" w:rsidRPr="001B20F9" w:rsidRDefault="001B20F9" w:rsidP="004E4D64">
      <w:pPr>
        <w:pStyle w:val="clear"/>
        <w:spacing w:before="0" w:beforeAutospacing="0" w:after="0"/>
        <w:rPr>
          <w:sz w:val="22"/>
          <w:szCs w:val="22"/>
          <w:u w:val="none"/>
        </w:rPr>
      </w:pPr>
      <w:r w:rsidRPr="001B20F9">
        <w:rPr>
          <w:sz w:val="22"/>
          <w:szCs w:val="22"/>
          <w:u w:val="none"/>
        </w:rPr>
        <w:t>This game may be played with as few as three people and with as many as five groups of five people each.  Each will group will need to select a spokesperson responsible for “ringing” the buzzer and answering the question on behalf of their group.  The group spokesperson should be selected carefully as he or she will be the only person in the group able to answer the quest</w:t>
      </w:r>
      <w:r w:rsidR="004E4D64">
        <w:rPr>
          <w:sz w:val="22"/>
          <w:szCs w:val="22"/>
          <w:u w:val="none"/>
        </w:rPr>
        <w:t>ion and their answer is final.</w:t>
      </w:r>
    </w:p>
    <w:p w14:paraId="20DAAE64" w14:textId="77777777" w:rsidR="004E4D64" w:rsidRDefault="004E4D64" w:rsidP="004E4D64">
      <w:pPr>
        <w:pStyle w:val="NormalWeb"/>
        <w:spacing w:before="0" w:beforeAutospacing="0" w:after="0" w:afterAutospacing="0"/>
        <w:jc w:val="both"/>
        <w:rPr>
          <w:sz w:val="22"/>
          <w:szCs w:val="22"/>
        </w:rPr>
      </w:pPr>
    </w:p>
    <w:p w14:paraId="00610714" w14:textId="77777777" w:rsidR="001B20F9" w:rsidRPr="001B20F9" w:rsidRDefault="001B20F9" w:rsidP="004E4D64">
      <w:pPr>
        <w:pStyle w:val="NormalWeb"/>
        <w:spacing w:before="0" w:beforeAutospacing="0" w:after="0" w:afterAutospacing="0"/>
        <w:jc w:val="both"/>
        <w:rPr>
          <w:sz w:val="22"/>
          <w:szCs w:val="22"/>
        </w:rPr>
      </w:pPr>
      <w:r w:rsidRPr="001B20F9">
        <w:rPr>
          <w:sz w:val="22"/>
          <w:szCs w:val="22"/>
        </w:rPr>
        <w:t>Each player should be given a “noise maker” and the first group to “ring in” will be allowed to respond to the question.  If the group does not answer the statement correctly, they lose the points attempted and the next group that rings in will have a chance to answer.  The game takes 30-45 minutes to play in its entirety.  The game host is responsible for selecting a gift to provide to the winning person or team; examples of awards include pens, letter opener</w:t>
      </w:r>
      <w:r w:rsidR="004E4D64">
        <w:rPr>
          <w:sz w:val="22"/>
          <w:szCs w:val="22"/>
        </w:rPr>
        <w:t>s, baseball caps, or Frisbees.</w:t>
      </w:r>
    </w:p>
    <w:p w14:paraId="25592817" w14:textId="77777777" w:rsidR="001B20F9" w:rsidRDefault="001B20F9" w:rsidP="004E4D64">
      <w:pPr>
        <w:pStyle w:val="NormalWeb"/>
        <w:spacing w:before="0" w:beforeAutospacing="0" w:after="0" w:afterAutospacing="0"/>
        <w:jc w:val="both"/>
        <w:rPr>
          <w:sz w:val="22"/>
          <w:szCs w:val="22"/>
        </w:rPr>
      </w:pPr>
      <w:r w:rsidRPr="001B20F9">
        <w:rPr>
          <w:sz w:val="22"/>
          <w:szCs w:val="22"/>
        </w:rPr>
        <w:t>The topic of cultural competence, cultural diversity, beliefs, and practices of others can be a difficult topic t</w:t>
      </w:r>
      <w:r w:rsidR="004E4D64">
        <w:rPr>
          <w:sz w:val="22"/>
          <w:szCs w:val="22"/>
        </w:rPr>
        <w:t xml:space="preserve">o discuss or even acknowledge. </w:t>
      </w:r>
      <w:r w:rsidRPr="001B20F9">
        <w:rPr>
          <w:sz w:val="22"/>
          <w:szCs w:val="22"/>
        </w:rPr>
        <w:t>Individuals may excuse themselves from participating in the activity.  Furthermore, this activity should not be used as of the only vehicle for understanding cultural issues among Latinos or to develop cultural competence.</w:t>
      </w:r>
    </w:p>
    <w:p w14:paraId="6863B912" w14:textId="77777777" w:rsidR="004E4D64" w:rsidRPr="001B20F9" w:rsidRDefault="004E4D64" w:rsidP="004E4D64">
      <w:pPr>
        <w:pStyle w:val="NormalWeb"/>
        <w:spacing w:before="0" w:beforeAutospacing="0" w:after="0" w:afterAutospacing="0"/>
        <w:ind w:firstLine="720"/>
        <w:jc w:val="both"/>
        <w:rPr>
          <w:sz w:val="22"/>
          <w:szCs w:val="22"/>
        </w:rPr>
      </w:pPr>
    </w:p>
    <w:p w14:paraId="54BFD10A" w14:textId="77777777" w:rsidR="001B20F9" w:rsidRDefault="001B20F9" w:rsidP="00FC26AC">
      <w:pPr>
        <w:pStyle w:val="NormalWeb"/>
        <w:spacing w:before="0" w:beforeAutospacing="0" w:after="0" w:afterAutospacing="0"/>
        <w:jc w:val="center"/>
        <w:rPr>
          <w:b/>
          <w:sz w:val="22"/>
          <w:szCs w:val="22"/>
        </w:rPr>
      </w:pPr>
      <w:r w:rsidRPr="001B20F9">
        <w:rPr>
          <w:b/>
          <w:sz w:val="22"/>
          <w:szCs w:val="22"/>
        </w:rPr>
        <w:t>Conclusion</w:t>
      </w:r>
    </w:p>
    <w:p w14:paraId="5DC33CE1" w14:textId="77777777" w:rsidR="00FC26AC" w:rsidRPr="001B20F9" w:rsidRDefault="00FC26AC" w:rsidP="004E4D64">
      <w:pPr>
        <w:pStyle w:val="NormalWeb"/>
        <w:spacing w:before="0" w:beforeAutospacing="0" w:after="0" w:afterAutospacing="0"/>
        <w:jc w:val="both"/>
        <w:rPr>
          <w:b/>
          <w:sz w:val="22"/>
          <w:szCs w:val="22"/>
        </w:rPr>
      </w:pPr>
    </w:p>
    <w:p w14:paraId="2603722F" w14:textId="77777777" w:rsidR="001B20F9" w:rsidRPr="001B20F9" w:rsidRDefault="001B20F9" w:rsidP="004E4D64">
      <w:pPr>
        <w:pStyle w:val="NormalWeb"/>
        <w:spacing w:before="0" w:beforeAutospacing="0" w:after="0" w:afterAutospacing="0"/>
        <w:jc w:val="both"/>
        <w:rPr>
          <w:sz w:val="22"/>
          <w:szCs w:val="22"/>
        </w:rPr>
      </w:pPr>
      <w:r w:rsidRPr="001B20F9">
        <w:rPr>
          <w:sz w:val="22"/>
          <w:szCs w:val="22"/>
        </w:rPr>
        <w:t>This interactive activity is an excellent way to explore intermediate Latino cultural practices, general characteristics, culinary practices, health promotion practices, traditional healing methods, and disease prevention strategies.  It is an excellent foundation for in-depth discussions about Latinos in the US.  While the game has been pilot tested in undergraduate health classes, no formal evaluation has been conducted at this time.  We encourage the reader to conduct their own evaluation, measuring knowledge gained as a result of playing the game, to determine what additional information the audience may need to learn about Latino health issues.  Results may be used to not only identify additional materials to be discussed in class, but also to make changes to the questions.</w:t>
      </w:r>
    </w:p>
    <w:p w14:paraId="6D4044DF" w14:textId="77777777" w:rsidR="004E4D64" w:rsidRDefault="004E4D64">
      <w:pPr>
        <w:rPr>
          <w:sz w:val="22"/>
          <w:szCs w:val="22"/>
        </w:rPr>
        <w:sectPr w:rsidR="004E4D64" w:rsidSect="004E4D64">
          <w:type w:val="continuous"/>
          <w:pgSz w:w="12240" w:h="15840"/>
          <w:pgMar w:top="1440" w:right="1440" w:bottom="1440" w:left="1440" w:header="720" w:footer="720" w:gutter="0"/>
          <w:cols w:num="2" w:space="720"/>
          <w:docGrid w:linePitch="360"/>
        </w:sectPr>
      </w:pPr>
    </w:p>
    <w:p w14:paraId="5DC6F99F" w14:textId="77777777" w:rsidR="00331C2E" w:rsidRPr="00632F75" w:rsidRDefault="00331C2E" w:rsidP="00331C2E">
      <w:pPr>
        <w:pStyle w:val="NormalWeb"/>
        <w:spacing w:before="0" w:beforeAutospacing="0" w:after="0" w:afterAutospacing="0"/>
        <w:ind w:left="720" w:hanging="720"/>
        <w:jc w:val="both"/>
        <w:rPr>
          <w:b/>
        </w:rPr>
      </w:pPr>
      <w:r w:rsidRPr="00632F75">
        <w:rPr>
          <w:b/>
        </w:rPr>
        <w:t>References</w:t>
      </w:r>
    </w:p>
    <w:p w14:paraId="35633C61" w14:textId="77777777" w:rsidR="00331C2E" w:rsidRDefault="00331C2E" w:rsidP="00331C2E">
      <w:pPr>
        <w:pStyle w:val="BodyText"/>
        <w:ind w:left="720" w:hanging="720"/>
        <w:rPr>
          <w:sz w:val="24"/>
        </w:rPr>
      </w:pPr>
      <w:proofErr w:type="spellStart"/>
      <w:proofErr w:type="gramStart"/>
      <w:r w:rsidRPr="00323C79">
        <w:rPr>
          <w:sz w:val="24"/>
        </w:rPr>
        <w:t>Alegría</w:t>
      </w:r>
      <w:proofErr w:type="spellEnd"/>
      <w:r w:rsidRPr="00323C79">
        <w:rPr>
          <w:sz w:val="24"/>
        </w:rPr>
        <w:t xml:space="preserve">, M., </w:t>
      </w:r>
      <w:proofErr w:type="spellStart"/>
      <w:r w:rsidRPr="00323C79">
        <w:rPr>
          <w:sz w:val="24"/>
        </w:rPr>
        <w:t>Mulvaney</w:t>
      </w:r>
      <w:proofErr w:type="spellEnd"/>
      <w:r w:rsidRPr="00323C79">
        <w:rPr>
          <w:sz w:val="24"/>
        </w:rPr>
        <w:t>-Day, N., Carson, N., and Woo, M. (2008) - A Sociocultural Framework for Understanding the Mechanisms of Behavioral Health and Educational Service Disparities in Immigrant Hispanic Children.</w:t>
      </w:r>
      <w:proofErr w:type="gramEnd"/>
      <w:r w:rsidRPr="00323C79">
        <w:rPr>
          <w:sz w:val="24"/>
        </w:rPr>
        <w:t xml:space="preserve"> </w:t>
      </w:r>
      <w:r>
        <w:rPr>
          <w:sz w:val="24"/>
        </w:rPr>
        <w:t xml:space="preserve">In </w:t>
      </w:r>
      <w:r>
        <w:t xml:space="preserve">N.S. </w:t>
      </w:r>
      <w:proofErr w:type="spellStart"/>
      <w:r>
        <w:t>Landale</w:t>
      </w:r>
      <w:proofErr w:type="spellEnd"/>
      <w:r>
        <w:t xml:space="preserve">, S. McHale, and A. Booth </w:t>
      </w:r>
      <w:r w:rsidRPr="00323C79">
        <w:t>(</w:t>
      </w:r>
      <w:proofErr w:type="spellStart"/>
      <w:r w:rsidRPr="00323C79">
        <w:t>Eds</w:t>
      </w:r>
      <w:proofErr w:type="spellEnd"/>
      <w:r w:rsidRPr="00323C79">
        <w:t xml:space="preserve">).  </w:t>
      </w:r>
      <w:r w:rsidRPr="003365B1">
        <w:rPr>
          <w:i/>
          <w:sz w:val="24"/>
        </w:rPr>
        <w:t>Growing Up Hispanic: Health and Development of Children of Immigrants</w:t>
      </w:r>
      <w:r>
        <w:rPr>
          <w:sz w:val="24"/>
        </w:rPr>
        <w:t xml:space="preserve">. Washington, DC: </w:t>
      </w:r>
      <w:r>
        <w:t>Urban Institute Press.</w:t>
      </w:r>
    </w:p>
    <w:p w14:paraId="3B101321" w14:textId="77777777" w:rsidR="00331C2E" w:rsidRPr="00323C79" w:rsidRDefault="00331C2E" w:rsidP="00331C2E">
      <w:pPr>
        <w:pStyle w:val="BodyText"/>
        <w:ind w:left="720" w:hanging="720"/>
        <w:rPr>
          <w:sz w:val="24"/>
        </w:rPr>
      </w:pPr>
      <w:r w:rsidRPr="00323C79">
        <w:rPr>
          <w:sz w:val="24"/>
        </w:rPr>
        <w:t xml:space="preserve">Bean, F.D., &amp; Stevens, G. (2003). </w:t>
      </w:r>
      <w:proofErr w:type="gramStart"/>
      <w:r w:rsidRPr="00323C79">
        <w:rPr>
          <w:sz w:val="24"/>
        </w:rPr>
        <w:t>America’s newcomers and the dynamics of diversity.</w:t>
      </w:r>
      <w:proofErr w:type="gramEnd"/>
      <w:r w:rsidRPr="00323C79">
        <w:rPr>
          <w:sz w:val="24"/>
        </w:rPr>
        <w:t xml:space="preserve"> New York: Russell Sage Foundation.</w:t>
      </w:r>
    </w:p>
    <w:p w14:paraId="72BAB42C" w14:textId="6B73FB12" w:rsidR="00331C2E" w:rsidRPr="00323C79" w:rsidRDefault="00331C2E" w:rsidP="00331C2E">
      <w:pPr>
        <w:ind w:left="720" w:hanging="720"/>
      </w:pPr>
      <w:proofErr w:type="gramStart"/>
      <w:r w:rsidRPr="00323C79">
        <w:t>Centers for Disease Control and Prevention.</w:t>
      </w:r>
      <w:proofErr w:type="gramEnd"/>
      <w:r w:rsidRPr="00323C79">
        <w:t xml:space="preserve"> (</w:t>
      </w:r>
      <w:r w:rsidRPr="009563D8">
        <w:t>2011a)</w:t>
      </w:r>
      <w:proofErr w:type="gramStart"/>
      <w:r w:rsidRPr="009563D8">
        <w:t xml:space="preserve">.  </w:t>
      </w:r>
      <w:r w:rsidRPr="009563D8">
        <w:rPr>
          <w:i/>
        </w:rPr>
        <w:t>Health of Hispanic or Latino Population</w:t>
      </w:r>
      <w:r w:rsidRPr="009563D8">
        <w:t>.</w:t>
      </w:r>
      <w:proofErr w:type="gramEnd"/>
      <w:r w:rsidRPr="009563D8">
        <w:t xml:space="preserve">  Retrieved from </w:t>
      </w:r>
      <w:r w:rsidRPr="00331C2E">
        <w:t>http://www.cdc.g</w:t>
      </w:r>
      <w:r w:rsidRPr="00331C2E">
        <w:t>o</w:t>
      </w:r>
      <w:r w:rsidRPr="00331C2E">
        <w:t>v/nchs/fastats/hispanic_health.ht</w:t>
      </w:r>
      <w:r w:rsidRPr="00331C2E">
        <w:t>m</w:t>
      </w:r>
      <w:r w:rsidRPr="009563D8">
        <w:t>.</w:t>
      </w:r>
    </w:p>
    <w:p w14:paraId="7F9EFE5B" w14:textId="622D33A8" w:rsidR="00331C2E" w:rsidRPr="00323C79" w:rsidRDefault="00331C2E" w:rsidP="00331C2E">
      <w:pPr>
        <w:ind w:left="720" w:hanging="720"/>
      </w:pPr>
      <w:r w:rsidRPr="00323C79">
        <w:t>C</w:t>
      </w:r>
      <w:r>
        <w:t>enters for Disease Control and Prevention</w:t>
      </w:r>
      <w:r w:rsidRPr="00323C79">
        <w:t xml:space="preserve"> (</w:t>
      </w:r>
      <w:r>
        <w:t>2011b</w:t>
      </w:r>
      <w:proofErr w:type="gramStart"/>
      <w:r w:rsidRPr="00323C79">
        <w:t xml:space="preserve">) </w:t>
      </w:r>
      <w:r>
        <w:t xml:space="preserve"> </w:t>
      </w:r>
      <w:r w:rsidRPr="00531525">
        <w:rPr>
          <w:i/>
        </w:rPr>
        <w:t>Health</w:t>
      </w:r>
      <w:proofErr w:type="gramEnd"/>
      <w:r w:rsidRPr="00531525">
        <w:rPr>
          <w:i/>
        </w:rPr>
        <w:t>, United States, 2010: Hispanic or Latino Population</w:t>
      </w:r>
      <w:r w:rsidRPr="00323C79">
        <w:t xml:space="preserve">.  </w:t>
      </w:r>
      <w:r>
        <w:t>Retrieved from</w:t>
      </w:r>
      <w:r w:rsidRPr="00323C79">
        <w:t xml:space="preserve"> </w:t>
      </w:r>
      <w:r w:rsidRPr="00331C2E">
        <w:t>http://www.cdc.gov/nchs</w:t>
      </w:r>
      <w:r w:rsidRPr="00331C2E">
        <w:t>/</w:t>
      </w:r>
      <w:r w:rsidRPr="00331C2E">
        <w:t>hus/hispanic.htm</w:t>
      </w:r>
      <w:r>
        <w:t>.</w:t>
      </w:r>
    </w:p>
    <w:p w14:paraId="1190EB5D" w14:textId="294D4459" w:rsidR="00331C2E" w:rsidRPr="00323C79" w:rsidRDefault="00331C2E" w:rsidP="00331C2E">
      <w:pPr>
        <w:ind w:left="720" w:hanging="720"/>
      </w:pPr>
      <w:r w:rsidRPr="00323C79">
        <w:t xml:space="preserve">Fry, R. (2008).  </w:t>
      </w:r>
      <w:proofErr w:type="gramStart"/>
      <w:r w:rsidRPr="00531525">
        <w:rPr>
          <w:i/>
        </w:rPr>
        <w:t>Latinos Account for Half of U.S. Population Growth Since 2000</w:t>
      </w:r>
      <w:r w:rsidRPr="00323C79">
        <w:t>.</w:t>
      </w:r>
      <w:proofErr w:type="gramEnd"/>
      <w:r w:rsidRPr="00323C79">
        <w:t xml:space="preserve">  </w:t>
      </w:r>
      <w:r>
        <w:t>Retrieved from</w:t>
      </w:r>
      <w:r w:rsidRPr="00323C79">
        <w:t xml:space="preserve"> </w:t>
      </w:r>
      <w:r w:rsidRPr="00331C2E">
        <w:t>http://pewresearch.org/pubs/1002/latino-population-growth</w:t>
      </w:r>
      <w:r>
        <w:t>.</w:t>
      </w:r>
    </w:p>
    <w:p w14:paraId="7FA1FD76" w14:textId="523D2F3E" w:rsidR="00331C2E" w:rsidRDefault="00331C2E" w:rsidP="00331C2E">
      <w:pPr>
        <w:ind w:left="720" w:hanging="720"/>
      </w:pPr>
      <w:proofErr w:type="gramStart"/>
      <w:r>
        <w:t xml:space="preserve">Hoffer, M, </w:t>
      </w:r>
      <w:proofErr w:type="spellStart"/>
      <w:r>
        <w:t>Rytina</w:t>
      </w:r>
      <w:proofErr w:type="spellEnd"/>
      <w:r>
        <w:t>, N., &amp; Baker, B. (2010).</w:t>
      </w:r>
      <w:proofErr w:type="gramEnd"/>
      <w:r>
        <w:t xml:space="preserve">  Estimates of the unauthorized immigrant population residing in the United States: January 2009.  Retrieved from </w:t>
      </w:r>
      <w:r w:rsidRPr="00331C2E">
        <w:t>http://www.dhs.gov/xlibrary/assets/statistics/publications/ois_ill_pe_2009.pdf</w:t>
      </w:r>
      <w:r>
        <w:t>.</w:t>
      </w:r>
    </w:p>
    <w:p w14:paraId="04859E4B" w14:textId="77777777" w:rsidR="00331C2E" w:rsidRPr="00323C79" w:rsidRDefault="00331C2E" w:rsidP="00331C2E">
      <w:pPr>
        <w:ind w:left="720" w:hanging="720"/>
      </w:pPr>
      <w:r w:rsidRPr="007D2C9B">
        <w:rPr>
          <w:lang w:val="es-US"/>
        </w:rPr>
        <w:t xml:space="preserve">Luquis, R.R., &amp; Pérez, M.A. (2008).  </w:t>
      </w:r>
      <w:r w:rsidRPr="00323C79">
        <w:t xml:space="preserve">Cultural competence and health education: Challenges and opportunities for the twenty-first century.  In M.A. Perez and R.R. </w:t>
      </w:r>
      <w:proofErr w:type="spellStart"/>
      <w:r w:rsidRPr="00323C79">
        <w:t>Luquis</w:t>
      </w:r>
      <w:proofErr w:type="spellEnd"/>
      <w:r w:rsidRPr="00323C79">
        <w:t xml:space="preserve"> (</w:t>
      </w:r>
      <w:proofErr w:type="spellStart"/>
      <w:r w:rsidRPr="00323C79">
        <w:t>Eds</w:t>
      </w:r>
      <w:proofErr w:type="spellEnd"/>
      <w:r w:rsidRPr="00323C79">
        <w:t xml:space="preserve">).  </w:t>
      </w:r>
      <w:proofErr w:type="gramStart"/>
      <w:r w:rsidRPr="00531525">
        <w:rPr>
          <w:i/>
        </w:rPr>
        <w:t>Cultural Competence in Health Education and Health Promotion</w:t>
      </w:r>
      <w:r w:rsidRPr="00323C79">
        <w:t xml:space="preserve"> (pp. 231-242).</w:t>
      </w:r>
      <w:proofErr w:type="gramEnd"/>
      <w:r w:rsidRPr="00323C79">
        <w:t xml:space="preserve">  San Francisco, CA: </w:t>
      </w:r>
      <w:proofErr w:type="spellStart"/>
      <w:r w:rsidRPr="00323C79">
        <w:t>Jossey</w:t>
      </w:r>
      <w:proofErr w:type="spellEnd"/>
      <w:r w:rsidRPr="00323C79">
        <w:t xml:space="preserve"> Bass Publishers.</w:t>
      </w:r>
    </w:p>
    <w:p w14:paraId="151651A1" w14:textId="77777777" w:rsidR="00331C2E" w:rsidRPr="00323C79" w:rsidRDefault="00331C2E" w:rsidP="00331C2E">
      <w:pPr>
        <w:ind w:left="720" w:hanging="720"/>
      </w:pPr>
      <w:proofErr w:type="spellStart"/>
      <w:r w:rsidRPr="007D2C9B">
        <w:t>Luquis</w:t>
      </w:r>
      <w:proofErr w:type="spellEnd"/>
      <w:r w:rsidRPr="007D2C9B">
        <w:t xml:space="preserve">, R.R., &amp; Pérez, M.A. (2006).  </w:t>
      </w:r>
      <w:proofErr w:type="gramStart"/>
      <w:r w:rsidRPr="00323C79">
        <w:t>Cultural competence among school health educators.</w:t>
      </w:r>
      <w:proofErr w:type="gramEnd"/>
      <w:r w:rsidRPr="00323C79">
        <w:t xml:space="preserve">  </w:t>
      </w:r>
      <w:r w:rsidRPr="00531525">
        <w:rPr>
          <w:i/>
        </w:rPr>
        <w:t>Journal of Cultural Diversity, 13</w:t>
      </w:r>
      <w:r w:rsidRPr="00323C79">
        <w:t>(4): 217-222.</w:t>
      </w:r>
    </w:p>
    <w:p w14:paraId="144651AD" w14:textId="77777777" w:rsidR="00331C2E" w:rsidRPr="00323C79" w:rsidRDefault="00331C2E" w:rsidP="00331C2E">
      <w:pPr>
        <w:ind w:left="720" w:hanging="720"/>
      </w:pPr>
      <w:proofErr w:type="spellStart"/>
      <w:r w:rsidRPr="007D2C9B">
        <w:t>Luquis</w:t>
      </w:r>
      <w:proofErr w:type="spellEnd"/>
      <w:r w:rsidRPr="007D2C9B">
        <w:t xml:space="preserve">, R., &amp; Pérez, M.A. (2005).  </w:t>
      </w:r>
      <w:r w:rsidRPr="00323C79">
        <w:t xml:space="preserve">Health educators and cultural competence: Implications for the profession.  </w:t>
      </w:r>
      <w:r w:rsidRPr="00531525">
        <w:rPr>
          <w:i/>
        </w:rPr>
        <w:t>American Journal of Health Studies, 20</w:t>
      </w:r>
      <w:r w:rsidRPr="00323C79">
        <w:t>(3): 156-163.</w:t>
      </w:r>
    </w:p>
    <w:p w14:paraId="68B8188F" w14:textId="0B48F04E" w:rsidR="00331C2E" w:rsidRDefault="00331C2E" w:rsidP="00331C2E">
      <w:pPr>
        <w:pStyle w:val="References"/>
        <w:spacing w:line="240" w:lineRule="auto"/>
      </w:pPr>
      <w:proofErr w:type="gramStart"/>
      <w:r>
        <w:t>National Commission for Health Education Credentialing [NCHEC].</w:t>
      </w:r>
      <w:proofErr w:type="gramEnd"/>
      <w:r>
        <w:t xml:space="preserve"> (2011)</w:t>
      </w:r>
      <w:proofErr w:type="gramStart"/>
      <w:r>
        <w:t>. Responsibilities and competencies of health educators.</w:t>
      </w:r>
      <w:proofErr w:type="gramEnd"/>
      <w:r>
        <w:t xml:space="preserve"> Retrieved from </w:t>
      </w:r>
      <w:r w:rsidRPr="00331C2E">
        <w:t>http://www.nchec.org/credentialing/responsibilities/</w:t>
      </w:r>
    </w:p>
    <w:p w14:paraId="7993276C" w14:textId="77777777" w:rsidR="00331C2E" w:rsidRPr="00323C79" w:rsidRDefault="00331C2E" w:rsidP="00331C2E">
      <w:pPr>
        <w:ind w:left="720" w:hanging="720"/>
      </w:pPr>
      <w:r w:rsidRPr="00323C79">
        <w:t xml:space="preserve">Pérez, M.A. (2008).  </w:t>
      </w:r>
      <w:proofErr w:type="gramStart"/>
      <w:r w:rsidRPr="00323C79">
        <w:t>Strategies, practices, and models for delivering culturally competent health education programs.</w:t>
      </w:r>
      <w:proofErr w:type="gramEnd"/>
      <w:r w:rsidRPr="00323C79">
        <w:t xml:space="preserve">  In M.A. Perez and R.R. </w:t>
      </w:r>
      <w:proofErr w:type="spellStart"/>
      <w:r w:rsidRPr="00323C79">
        <w:t>Luquis</w:t>
      </w:r>
      <w:proofErr w:type="spellEnd"/>
      <w:r w:rsidRPr="00323C79">
        <w:t xml:space="preserve"> (</w:t>
      </w:r>
      <w:proofErr w:type="spellStart"/>
      <w:r w:rsidRPr="00323C79">
        <w:t>Eds</w:t>
      </w:r>
      <w:proofErr w:type="spellEnd"/>
      <w:r w:rsidRPr="00323C79">
        <w:t xml:space="preserve">).  </w:t>
      </w:r>
      <w:proofErr w:type="gramStart"/>
      <w:r w:rsidRPr="00531525">
        <w:rPr>
          <w:i/>
        </w:rPr>
        <w:t>Cultural Competence in Health Education and Health Promotion</w:t>
      </w:r>
      <w:r w:rsidRPr="00323C79">
        <w:t xml:space="preserve"> (pp. 183-197).</w:t>
      </w:r>
      <w:proofErr w:type="gramEnd"/>
      <w:r w:rsidRPr="00323C79">
        <w:t xml:space="preserve">  San Francisco, CA: </w:t>
      </w:r>
      <w:proofErr w:type="spellStart"/>
      <w:r w:rsidRPr="00323C79">
        <w:t>Jossey</w:t>
      </w:r>
      <w:proofErr w:type="spellEnd"/>
      <w:r w:rsidRPr="00323C79">
        <w:t xml:space="preserve"> Bass Publishers.</w:t>
      </w:r>
    </w:p>
    <w:p w14:paraId="1D5C55A5" w14:textId="77777777" w:rsidR="00331C2E" w:rsidRPr="00323C79" w:rsidRDefault="00331C2E" w:rsidP="00331C2E">
      <w:pPr>
        <w:pStyle w:val="BodyText"/>
        <w:ind w:left="720" w:hanging="720"/>
        <w:rPr>
          <w:sz w:val="24"/>
        </w:rPr>
      </w:pPr>
      <w:r w:rsidRPr="0007137B">
        <w:rPr>
          <w:sz w:val="24"/>
        </w:rPr>
        <w:t xml:space="preserve">Pérez, M.A, </w:t>
      </w:r>
      <w:proofErr w:type="spellStart"/>
      <w:r w:rsidRPr="0007137B">
        <w:rPr>
          <w:sz w:val="24"/>
        </w:rPr>
        <w:t>Pinzón</w:t>
      </w:r>
      <w:proofErr w:type="spellEnd"/>
      <w:r w:rsidRPr="0007137B">
        <w:rPr>
          <w:sz w:val="24"/>
        </w:rPr>
        <w:t xml:space="preserve">, H.L., &amp; Garza, R. (1997).  </w:t>
      </w:r>
      <w:r w:rsidRPr="00323C79">
        <w:rPr>
          <w:sz w:val="24"/>
        </w:rPr>
        <w:t xml:space="preserve">Latino families: Partners for success in school settings.  </w:t>
      </w:r>
      <w:proofErr w:type="gramStart"/>
      <w:r w:rsidRPr="00531525">
        <w:rPr>
          <w:i/>
          <w:sz w:val="24"/>
        </w:rPr>
        <w:t>Journal of School Health, 67</w:t>
      </w:r>
      <w:r w:rsidRPr="00323C79">
        <w:rPr>
          <w:sz w:val="24"/>
        </w:rPr>
        <w:t>(5), 182-184.</w:t>
      </w:r>
      <w:proofErr w:type="gramEnd"/>
    </w:p>
    <w:p w14:paraId="7A4E54B5" w14:textId="568D6B7A" w:rsidR="00331C2E" w:rsidRDefault="00331C2E" w:rsidP="00331C2E">
      <w:pPr>
        <w:pStyle w:val="BodyText"/>
        <w:ind w:left="720" w:hanging="720"/>
        <w:rPr>
          <w:sz w:val="24"/>
        </w:rPr>
      </w:pPr>
      <w:r w:rsidRPr="00323C79">
        <w:rPr>
          <w:sz w:val="24"/>
        </w:rPr>
        <w:t>Pew Hispanic Center. (2011a)</w:t>
      </w:r>
      <w:proofErr w:type="gramStart"/>
      <w:r w:rsidRPr="00323C79">
        <w:rPr>
          <w:sz w:val="24"/>
        </w:rPr>
        <w:t xml:space="preserve">.  </w:t>
      </w:r>
      <w:r w:rsidRPr="00531525">
        <w:rPr>
          <w:i/>
          <w:sz w:val="24"/>
        </w:rPr>
        <w:t>Census 2010: 50 Million Latinos.</w:t>
      </w:r>
      <w:proofErr w:type="gramEnd"/>
      <w:r w:rsidRPr="00531525">
        <w:rPr>
          <w:i/>
          <w:sz w:val="24"/>
        </w:rPr>
        <w:t xml:space="preserve">  </w:t>
      </w:r>
      <w:proofErr w:type="gramStart"/>
      <w:r w:rsidRPr="00531525">
        <w:rPr>
          <w:i/>
          <w:sz w:val="24"/>
        </w:rPr>
        <w:t>Hispanics account for more than half of the nation’s growth in the last decade</w:t>
      </w:r>
      <w:r w:rsidRPr="00323C79">
        <w:rPr>
          <w:sz w:val="24"/>
        </w:rPr>
        <w:t>.</w:t>
      </w:r>
      <w:proofErr w:type="gramEnd"/>
      <w:r w:rsidRPr="00323C79">
        <w:rPr>
          <w:sz w:val="24"/>
        </w:rPr>
        <w:t xml:space="preserve">  </w:t>
      </w:r>
      <w:r>
        <w:t>Retrieved from</w:t>
      </w:r>
      <w:r w:rsidRPr="00323C79">
        <w:rPr>
          <w:sz w:val="24"/>
        </w:rPr>
        <w:t xml:space="preserve"> </w:t>
      </w:r>
      <w:r w:rsidRPr="00331C2E">
        <w:rPr>
          <w:sz w:val="24"/>
        </w:rPr>
        <w:t>http://www.pewhispanic.org</w:t>
      </w:r>
      <w:r>
        <w:rPr>
          <w:sz w:val="24"/>
        </w:rPr>
        <w:t>.</w:t>
      </w:r>
    </w:p>
    <w:p w14:paraId="2A14A5AE" w14:textId="77777777" w:rsidR="00331C2E" w:rsidRPr="00323C79" w:rsidRDefault="00331C2E" w:rsidP="00331C2E">
      <w:pPr>
        <w:pStyle w:val="BodyText"/>
        <w:ind w:left="720" w:hanging="720"/>
        <w:rPr>
          <w:sz w:val="24"/>
        </w:rPr>
      </w:pPr>
      <w:r>
        <w:rPr>
          <w:sz w:val="24"/>
        </w:rPr>
        <w:t>Pew Hispanic Center. (2011b)</w:t>
      </w:r>
      <w:proofErr w:type="gramStart"/>
      <w:r>
        <w:rPr>
          <w:sz w:val="24"/>
        </w:rPr>
        <w:t>.  Country of origin profiles.</w:t>
      </w:r>
      <w:proofErr w:type="gramEnd"/>
      <w:r>
        <w:rPr>
          <w:sz w:val="24"/>
        </w:rPr>
        <w:t xml:space="preserve">  Retrieved from http://pewhispanic.org/data/origins.</w:t>
      </w:r>
    </w:p>
    <w:p w14:paraId="7524DCD9" w14:textId="77777777" w:rsidR="00331C2E" w:rsidRPr="00997F26" w:rsidRDefault="00331C2E" w:rsidP="00331C2E">
      <w:pPr>
        <w:ind w:left="720" w:hanging="720"/>
      </w:pPr>
      <w:proofErr w:type="gramStart"/>
      <w:r>
        <w:t>US Census Bureau (2011).</w:t>
      </w:r>
      <w:proofErr w:type="gramEnd"/>
      <w:r>
        <w:t xml:space="preserve">  </w:t>
      </w:r>
      <w:proofErr w:type="gramStart"/>
      <w:r>
        <w:rPr>
          <w:i/>
        </w:rPr>
        <w:t>Hispanic Population 2010.</w:t>
      </w:r>
      <w:proofErr w:type="gramEnd"/>
      <w:r>
        <w:t xml:space="preserve"> Retrieved from </w:t>
      </w:r>
      <w:r w:rsidRPr="00997F26">
        <w:t>http://www.census.gov/prod/cen2010/briefs/c2010br-04.pdf</w:t>
      </w:r>
      <w:r>
        <w:t>.</w:t>
      </w:r>
    </w:p>
    <w:p w14:paraId="22396C77" w14:textId="3A5DE9CF" w:rsidR="00331C2E" w:rsidRPr="00323C79" w:rsidRDefault="00331C2E" w:rsidP="00331C2E">
      <w:pPr>
        <w:ind w:left="720" w:hanging="720"/>
      </w:pPr>
      <w:proofErr w:type="gramStart"/>
      <w:r w:rsidRPr="00323C79">
        <w:t>US Census Bureau.</w:t>
      </w:r>
      <w:proofErr w:type="gramEnd"/>
      <w:r w:rsidRPr="00323C79">
        <w:t xml:space="preserve"> (2010</w:t>
      </w:r>
      <w:r>
        <w:t>a</w:t>
      </w:r>
      <w:r w:rsidRPr="00323C79">
        <w:t>)</w:t>
      </w:r>
      <w:proofErr w:type="gramStart"/>
      <w:r w:rsidRPr="00323C79">
        <w:t xml:space="preserve">.   </w:t>
      </w:r>
      <w:r w:rsidRPr="004F158A">
        <w:rPr>
          <w:i/>
        </w:rPr>
        <w:t>Facts for features</w:t>
      </w:r>
      <w:r w:rsidRPr="00323C79">
        <w:t>.</w:t>
      </w:r>
      <w:proofErr w:type="gramEnd"/>
      <w:r w:rsidRPr="00323C79">
        <w:t xml:space="preserve">  </w:t>
      </w:r>
      <w:r>
        <w:t xml:space="preserve">Retrieved from </w:t>
      </w:r>
      <w:r w:rsidRPr="00331C2E">
        <w:t>http://www.census.gov/newsroom/re</w:t>
      </w:r>
      <w:r w:rsidRPr="00331C2E">
        <w:t>l</w:t>
      </w:r>
      <w:r w:rsidRPr="00331C2E">
        <w:t>eases/archives/facts_for_features_special_editions/cb10-ff17.html</w:t>
      </w:r>
      <w:r>
        <w:t xml:space="preserve">.  </w:t>
      </w:r>
    </w:p>
    <w:p w14:paraId="1002DFFC" w14:textId="77777777" w:rsidR="00331C2E" w:rsidRDefault="00331C2E" w:rsidP="00331C2E">
      <w:pPr>
        <w:pStyle w:val="BodyText"/>
        <w:ind w:left="720" w:hanging="720"/>
        <w:rPr>
          <w:sz w:val="24"/>
        </w:rPr>
      </w:pPr>
      <w:r>
        <w:rPr>
          <w:sz w:val="24"/>
        </w:rPr>
        <w:t xml:space="preserve">U.S. Census Bureau (2010b).  </w:t>
      </w:r>
      <w:proofErr w:type="gramStart"/>
      <w:r w:rsidRPr="004F158A">
        <w:rPr>
          <w:i/>
          <w:sz w:val="24"/>
        </w:rPr>
        <w:t>Hispanic Population of the United States</w:t>
      </w:r>
      <w:r>
        <w:rPr>
          <w:sz w:val="24"/>
        </w:rPr>
        <w:t>.</w:t>
      </w:r>
      <w:proofErr w:type="gramEnd"/>
      <w:r>
        <w:rPr>
          <w:sz w:val="24"/>
        </w:rPr>
        <w:t xml:space="preserve">  </w:t>
      </w:r>
      <w:r>
        <w:t>Retrieved from</w:t>
      </w:r>
      <w:r w:rsidRPr="00323C79">
        <w:rPr>
          <w:sz w:val="24"/>
        </w:rPr>
        <w:t xml:space="preserve"> </w:t>
      </w:r>
      <w:r w:rsidRPr="00876693">
        <w:rPr>
          <w:sz w:val="24"/>
        </w:rPr>
        <w:t>http://www.census.gov/population/www/socdemo/hispanic/about.html</w:t>
      </w:r>
      <w:r>
        <w:rPr>
          <w:sz w:val="24"/>
        </w:rPr>
        <w:t>.</w:t>
      </w:r>
    </w:p>
    <w:p w14:paraId="5957765A" w14:textId="77777777" w:rsidR="00331C2E" w:rsidRDefault="00331C2E" w:rsidP="00331C2E">
      <w:pPr>
        <w:pStyle w:val="BodyText"/>
        <w:ind w:left="720" w:hanging="720"/>
        <w:rPr>
          <w:sz w:val="24"/>
        </w:rPr>
      </w:pPr>
      <w:r>
        <w:rPr>
          <w:sz w:val="24"/>
        </w:rPr>
        <w:t xml:space="preserve">U.S. Census Bureau (2010c).  </w:t>
      </w:r>
      <w:r w:rsidRPr="00997F26">
        <w:rPr>
          <w:i/>
          <w:sz w:val="24"/>
        </w:rPr>
        <w:t>People who spoke a language other than English at home by Hispanic origin and race: 2009</w:t>
      </w:r>
      <w:r>
        <w:rPr>
          <w:sz w:val="24"/>
        </w:rPr>
        <w:t xml:space="preserve">.  Retrieved from </w:t>
      </w:r>
      <w:r w:rsidRPr="005C419A">
        <w:rPr>
          <w:sz w:val="24"/>
        </w:rPr>
        <w:t>http://www.census.gov/prod/2010pubs/acsbr09-19.pdf</w:t>
      </w:r>
      <w:r>
        <w:rPr>
          <w:sz w:val="24"/>
        </w:rPr>
        <w:t>.</w:t>
      </w:r>
    </w:p>
    <w:p w14:paraId="0B643031" w14:textId="6B758624" w:rsidR="00331C2E" w:rsidRPr="00323C79" w:rsidRDefault="00331C2E" w:rsidP="00331C2E">
      <w:pPr>
        <w:pStyle w:val="BodyText"/>
        <w:ind w:left="720" w:hanging="720"/>
        <w:rPr>
          <w:sz w:val="24"/>
        </w:rPr>
      </w:pPr>
      <w:proofErr w:type="spellStart"/>
      <w:r>
        <w:rPr>
          <w:sz w:val="24"/>
        </w:rPr>
        <w:t>Zavaleta</w:t>
      </w:r>
      <w:proofErr w:type="spellEnd"/>
      <w:r>
        <w:rPr>
          <w:sz w:val="24"/>
        </w:rPr>
        <w:t xml:space="preserve">, A.N. (2009).  </w:t>
      </w:r>
      <w:proofErr w:type="gramStart"/>
      <w:r>
        <w:rPr>
          <w:sz w:val="24"/>
        </w:rPr>
        <w:t>The importance of cultural competency in the delivery of Latino health care in the 21</w:t>
      </w:r>
      <w:r w:rsidRPr="004740D4">
        <w:rPr>
          <w:sz w:val="24"/>
          <w:vertAlign w:val="superscript"/>
        </w:rPr>
        <w:t>st</w:t>
      </w:r>
      <w:r>
        <w:rPr>
          <w:sz w:val="24"/>
        </w:rPr>
        <w:t xml:space="preserve"> century.</w:t>
      </w:r>
      <w:proofErr w:type="gramEnd"/>
      <w:r>
        <w:rPr>
          <w:sz w:val="24"/>
        </w:rPr>
        <w:t xml:space="preserve"> Retrieved from </w:t>
      </w:r>
      <w:r w:rsidRPr="00331C2E">
        <w:rPr>
          <w:sz w:val="24"/>
        </w:rPr>
        <w:t>http://vpea.utb.edu/elnino/Cultural-Comp.pdf</w:t>
      </w:r>
      <w:r>
        <w:rPr>
          <w:sz w:val="24"/>
        </w:rPr>
        <w:t>.</w:t>
      </w:r>
    </w:p>
    <w:p w14:paraId="559F0A02" w14:textId="77777777" w:rsidR="00854FD0" w:rsidRDefault="00854FD0">
      <w:pPr>
        <w:rPr>
          <w:sz w:val="22"/>
          <w:szCs w:val="22"/>
        </w:rPr>
      </w:pPr>
    </w:p>
    <w:p w14:paraId="514FD740" w14:textId="77777777" w:rsidR="00FB54C4" w:rsidRDefault="00FB54C4">
      <w:pPr>
        <w:rPr>
          <w:sz w:val="22"/>
          <w:szCs w:val="22"/>
        </w:rPr>
      </w:pPr>
    </w:p>
    <w:p w14:paraId="7F019AFF" w14:textId="77777777" w:rsidR="00FB54C4" w:rsidRDefault="00FB54C4">
      <w:pPr>
        <w:rPr>
          <w:sz w:val="22"/>
          <w:szCs w:val="22"/>
        </w:rPr>
      </w:pPr>
    </w:p>
    <w:p w14:paraId="7BA4264A" w14:textId="77777777" w:rsidR="00FB54C4" w:rsidRPr="00655224" w:rsidRDefault="00FB54C4">
      <w:pPr>
        <w:rPr>
          <w:sz w:val="22"/>
          <w:szCs w:val="22"/>
        </w:rPr>
      </w:pPr>
    </w:p>
    <w:p w14:paraId="635DD63F" w14:textId="77777777" w:rsidR="007E3233" w:rsidRDefault="007E3233">
      <w:pPr>
        <w:rPr>
          <w:sz w:val="22"/>
          <w:szCs w:val="22"/>
        </w:rPr>
      </w:pPr>
    </w:p>
    <w:tbl>
      <w:tblPr>
        <w:tblW w:w="0" w:type="auto"/>
        <w:tblInd w:w="288" w:type="dxa"/>
        <w:tblLook w:val="0000" w:firstRow="0" w:lastRow="0" w:firstColumn="0" w:lastColumn="0" w:noHBand="0" w:noVBand="0"/>
      </w:tblPr>
      <w:tblGrid>
        <w:gridCol w:w="3420"/>
        <w:gridCol w:w="5580"/>
      </w:tblGrid>
      <w:tr w:rsidR="00854FD0" w:rsidRPr="00655224" w14:paraId="784AC396" w14:textId="77777777">
        <w:tc>
          <w:tcPr>
            <w:tcW w:w="3420" w:type="dxa"/>
          </w:tcPr>
          <w:p w14:paraId="21F12859" w14:textId="77777777" w:rsidR="00854FD0" w:rsidRPr="00655224" w:rsidRDefault="00854FD0">
            <w:pPr>
              <w:rPr>
                <w:sz w:val="22"/>
                <w:szCs w:val="22"/>
              </w:rPr>
            </w:pPr>
          </w:p>
        </w:tc>
        <w:tc>
          <w:tcPr>
            <w:tcW w:w="5580" w:type="dxa"/>
          </w:tcPr>
          <w:p w14:paraId="3BA5A2AB" w14:textId="77777777" w:rsidR="00854FD0" w:rsidRPr="005554D2" w:rsidRDefault="00854FD0">
            <w:pPr>
              <w:pStyle w:val="Heading1"/>
              <w:rPr>
                <w:sz w:val="22"/>
                <w:szCs w:val="22"/>
              </w:rPr>
            </w:pPr>
            <w:r w:rsidRPr="005554D2">
              <w:rPr>
                <w:sz w:val="22"/>
                <w:szCs w:val="22"/>
              </w:rPr>
              <w:t>Author Information</w:t>
            </w:r>
          </w:p>
          <w:p w14:paraId="4D85D79F" w14:textId="61E12A71" w:rsidR="00041AAD" w:rsidRPr="00041AAD" w:rsidRDefault="00041AAD" w:rsidP="00041AAD">
            <w:pPr>
              <w:rPr>
                <w:rFonts w:ascii="Times" w:hAnsi="Times" w:cs="Estrangelo Edessa"/>
                <w:sz w:val="22"/>
                <w:szCs w:val="22"/>
              </w:rPr>
            </w:pPr>
            <w:r>
              <w:rPr>
                <w:rFonts w:ascii="Palatino Linotype" w:hAnsi="Palatino Linotype" w:cs="Estrangelo Edessa"/>
              </w:rPr>
              <w:t>*</w:t>
            </w:r>
            <w:r w:rsidRPr="00041AAD">
              <w:rPr>
                <w:rFonts w:ascii="Times" w:hAnsi="Times" w:cs="Estrangelo Edessa"/>
                <w:sz w:val="22"/>
                <w:szCs w:val="22"/>
              </w:rPr>
              <w:t>Miguel A. Perez</w:t>
            </w:r>
            <w:r w:rsidRPr="00041AAD">
              <w:rPr>
                <w:rStyle w:val="FootnoteReference"/>
                <w:rFonts w:ascii="Times" w:hAnsi="Times" w:cs="Estrangelo Edessa"/>
                <w:sz w:val="22"/>
                <w:szCs w:val="22"/>
              </w:rPr>
              <w:footnoteReference w:id="2"/>
            </w:r>
            <w:r w:rsidRPr="00041AAD">
              <w:rPr>
                <w:rFonts w:ascii="Times" w:hAnsi="Times" w:cs="Estrangelo Edessa"/>
                <w:sz w:val="22"/>
                <w:szCs w:val="22"/>
              </w:rPr>
              <w:t>, Ph.D., MCHES</w:t>
            </w:r>
          </w:p>
          <w:p w14:paraId="169336C8" w14:textId="77777777" w:rsidR="00041AAD" w:rsidRPr="00041AAD" w:rsidRDefault="00041AAD" w:rsidP="00041AAD">
            <w:pPr>
              <w:rPr>
                <w:rFonts w:ascii="Times" w:hAnsi="Times" w:cs="Estrangelo Edessa"/>
                <w:sz w:val="22"/>
                <w:szCs w:val="22"/>
              </w:rPr>
            </w:pPr>
            <w:r w:rsidRPr="00041AAD">
              <w:rPr>
                <w:rFonts w:ascii="Times" w:hAnsi="Times" w:cs="Estrangelo Edessa"/>
                <w:sz w:val="22"/>
                <w:szCs w:val="22"/>
              </w:rPr>
              <w:t>California State University, Fresno</w:t>
            </w:r>
          </w:p>
          <w:p w14:paraId="22ADDCFC" w14:textId="05A13D15" w:rsidR="00041AAD" w:rsidRPr="00041AAD" w:rsidRDefault="00041AAD" w:rsidP="00041AAD">
            <w:pPr>
              <w:rPr>
                <w:rFonts w:ascii="Times" w:hAnsi="Times" w:cs="Estrangelo Edessa"/>
                <w:sz w:val="22"/>
                <w:szCs w:val="22"/>
              </w:rPr>
            </w:pPr>
            <w:r w:rsidRPr="00041AAD">
              <w:rPr>
                <w:rFonts w:ascii="Times" w:hAnsi="Times" w:cs="Estrangelo Edessa"/>
                <w:sz w:val="22"/>
                <w:szCs w:val="22"/>
              </w:rPr>
              <w:t>Department of Public Health</w:t>
            </w:r>
            <w:r w:rsidRPr="00041AAD">
              <w:rPr>
                <w:rFonts w:ascii="Times" w:hAnsi="Times" w:cs="Estrangelo Edessa"/>
                <w:sz w:val="22"/>
                <w:szCs w:val="22"/>
              </w:rPr>
              <w:br/>
              <w:t>2345 E. San Ramon Ave. MS MH 30</w:t>
            </w:r>
          </w:p>
          <w:p w14:paraId="03036A72" w14:textId="77777777" w:rsidR="00041AAD" w:rsidRPr="00041AAD" w:rsidRDefault="00041AAD" w:rsidP="00041AAD">
            <w:pPr>
              <w:rPr>
                <w:rFonts w:ascii="Times" w:hAnsi="Times" w:cs="Estrangelo Edessa"/>
                <w:sz w:val="22"/>
                <w:szCs w:val="22"/>
                <w:lang w:val="es-US"/>
              </w:rPr>
            </w:pPr>
            <w:r w:rsidRPr="00041AAD">
              <w:rPr>
                <w:rFonts w:ascii="Times" w:hAnsi="Times" w:cs="Estrangelo Edessa"/>
                <w:sz w:val="22"/>
                <w:szCs w:val="22"/>
                <w:lang w:val="es-US"/>
              </w:rPr>
              <w:t>Fresno, CA  93740</w:t>
            </w:r>
          </w:p>
          <w:p w14:paraId="3517420D" w14:textId="15B101E2" w:rsidR="00041AAD" w:rsidRPr="00041AAD" w:rsidRDefault="00041AAD" w:rsidP="00041AAD">
            <w:pPr>
              <w:rPr>
                <w:rFonts w:ascii="Times" w:hAnsi="Times" w:cs="Estrangelo Edessa"/>
                <w:sz w:val="22"/>
                <w:szCs w:val="22"/>
                <w:lang w:val="es-US"/>
              </w:rPr>
            </w:pPr>
            <w:r w:rsidRPr="00041AAD">
              <w:rPr>
                <w:rFonts w:ascii="Times" w:hAnsi="Times" w:cs="Estrangelo Edessa"/>
                <w:sz w:val="22"/>
                <w:szCs w:val="22"/>
                <w:lang w:val="es-US"/>
              </w:rPr>
              <w:t>Phone: 559.278.4014</w:t>
            </w:r>
          </w:p>
          <w:p w14:paraId="584DADC3" w14:textId="02A36D86" w:rsidR="00041AAD" w:rsidRPr="00041AAD" w:rsidRDefault="00041AAD" w:rsidP="00041AAD">
            <w:pPr>
              <w:rPr>
                <w:rFonts w:ascii="Times" w:hAnsi="Times" w:cs="Estrangelo Edessa"/>
                <w:sz w:val="22"/>
                <w:szCs w:val="22"/>
                <w:lang w:val="es-US"/>
              </w:rPr>
            </w:pPr>
            <w:r w:rsidRPr="00041AAD">
              <w:rPr>
                <w:rFonts w:ascii="Times" w:hAnsi="Times" w:cs="Estrangelo Edessa"/>
                <w:sz w:val="22"/>
                <w:szCs w:val="22"/>
                <w:lang w:val="es-US"/>
              </w:rPr>
              <w:t xml:space="preserve">Fax: 559.278.4170 </w:t>
            </w:r>
          </w:p>
          <w:p w14:paraId="5C5E46C5" w14:textId="52AD5DA2" w:rsidR="0089340C" w:rsidRPr="00041AAD" w:rsidRDefault="00041AAD" w:rsidP="00041AAD">
            <w:pPr>
              <w:rPr>
                <w:rFonts w:ascii="Times" w:hAnsi="Times"/>
                <w:sz w:val="22"/>
                <w:szCs w:val="22"/>
              </w:rPr>
            </w:pPr>
            <w:r w:rsidRPr="00041AAD">
              <w:rPr>
                <w:rFonts w:ascii="Times" w:hAnsi="Times" w:cs="Estrangelo Edessa"/>
                <w:sz w:val="22"/>
                <w:szCs w:val="22"/>
                <w:lang w:val="es-US"/>
              </w:rPr>
              <w:t>E-mail: mperez@csufresno.edu</w:t>
            </w:r>
          </w:p>
          <w:p w14:paraId="27CDECCD" w14:textId="77777777" w:rsidR="00C30D54" w:rsidRPr="00041AAD" w:rsidRDefault="00C30D54" w:rsidP="007E3233">
            <w:pPr>
              <w:rPr>
                <w:rFonts w:ascii="Times" w:hAnsi="Times"/>
                <w:sz w:val="22"/>
                <w:szCs w:val="22"/>
              </w:rPr>
            </w:pPr>
          </w:p>
          <w:p w14:paraId="7DBEBABC" w14:textId="77777777" w:rsidR="00041AAD" w:rsidRPr="00041AAD" w:rsidRDefault="00041AAD" w:rsidP="00041AAD">
            <w:pPr>
              <w:rPr>
                <w:rFonts w:ascii="Times" w:hAnsi="Times" w:cs="Estrangelo Edessa"/>
                <w:sz w:val="22"/>
                <w:szCs w:val="22"/>
              </w:rPr>
            </w:pPr>
            <w:proofErr w:type="spellStart"/>
            <w:r w:rsidRPr="00041AAD">
              <w:rPr>
                <w:rFonts w:ascii="Times" w:hAnsi="Times" w:cs="Estrangelo Edessa"/>
                <w:sz w:val="22"/>
                <w:szCs w:val="22"/>
              </w:rPr>
              <w:t>Raffy</w:t>
            </w:r>
            <w:proofErr w:type="spellEnd"/>
            <w:r w:rsidRPr="00041AAD">
              <w:rPr>
                <w:rFonts w:ascii="Times" w:hAnsi="Times" w:cs="Estrangelo Edessa"/>
                <w:sz w:val="22"/>
                <w:szCs w:val="22"/>
              </w:rPr>
              <w:t xml:space="preserve"> R. </w:t>
            </w:r>
            <w:proofErr w:type="spellStart"/>
            <w:r w:rsidRPr="00041AAD">
              <w:rPr>
                <w:rFonts w:ascii="Times" w:hAnsi="Times" w:cs="Estrangelo Edessa"/>
                <w:sz w:val="22"/>
                <w:szCs w:val="22"/>
              </w:rPr>
              <w:t>Luquis</w:t>
            </w:r>
            <w:proofErr w:type="spellEnd"/>
            <w:r w:rsidRPr="00041AAD">
              <w:rPr>
                <w:rFonts w:ascii="Times" w:hAnsi="Times" w:cs="Estrangelo Edessa"/>
                <w:sz w:val="22"/>
                <w:szCs w:val="22"/>
              </w:rPr>
              <w:t>, Ph.D., MCHES</w:t>
            </w:r>
          </w:p>
          <w:p w14:paraId="43DF2026" w14:textId="77777777" w:rsidR="00041AAD" w:rsidRPr="00041AAD" w:rsidRDefault="00041AAD" w:rsidP="00041AAD">
            <w:pPr>
              <w:rPr>
                <w:rFonts w:ascii="Times" w:hAnsi="Times" w:cs="Estrangelo Edessa"/>
                <w:sz w:val="22"/>
                <w:szCs w:val="22"/>
              </w:rPr>
            </w:pPr>
            <w:r w:rsidRPr="00041AAD">
              <w:rPr>
                <w:rFonts w:ascii="Times" w:hAnsi="Times" w:cs="Estrangelo Edessa"/>
                <w:sz w:val="22"/>
                <w:szCs w:val="22"/>
              </w:rPr>
              <w:t>Penn State Harrisburg</w:t>
            </w:r>
          </w:p>
          <w:p w14:paraId="627EAAF9" w14:textId="77777777" w:rsidR="00041AAD" w:rsidRPr="00041AAD" w:rsidRDefault="00041AAD" w:rsidP="00041AAD">
            <w:pPr>
              <w:rPr>
                <w:rFonts w:ascii="Times" w:hAnsi="Times" w:cs="Estrangelo Edessa"/>
                <w:sz w:val="22"/>
                <w:szCs w:val="22"/>
              </w:rPr>
            </w:pPr>
            <w:r w:rsidRPr="00041AAD">
              <w:rPr>
                <w:rFonts w:ascii="Times" w:hAnsi="Times" w:cs="Estrangelo Edessa"/>
                <w:sz w:val="22"/>
                <w:szCs w:val="22"/>
              </w:rPr>
              <w:t>School of Behavioral Sciences and Education</w:t>
            </w:r>
          </w:p>
          <w:p w14:paraId="22024A45" w14:textId="77777777" w:rsidR="002331C1" w:rsidRDefault="002331C1" w:rsidP="007E3233">
            <w:pPr>
              <w:rPr>
                <w:sz w:val="22"/>
                <w:szCs w:val="22"/>
              </w:rPr>
            </w:pPr>
          </w:p>
          <w:p w14:paraId="4CE7EBB8" w14:textId="77777777" w:rsidR="005554D2" w:rsidRPr="005554D2" w:rsidRDefault="005554D2" w:rsidP="007E3233">
            <w:pPr>
              <w:rPr>
                <w:sz w:val="18"/>
                <w:szCs w:val="18"/>
              </w:rPr>
            </w:pPr>
            <w:r w:rsidRPr="005554D2">
              <w:rPr>
                <w:sz w:val="18"/>
                <w:szCs w:val="18"/>
              </w:rPr>
              <w:t xml:space="preserve">* </w:t>
            </w:r>
            <w:proofErr w:type="gramStart"/>
            <w:r w:rsidRPr="005554D2">
              <w:rPr>
                <w:sz w:val="18"/>
                <w:szCs w:val="18"/>
              </w:rPr>
              <w:t>corresponding</w:t>
            </w:r>
            <w:proofErr w:type="gramEnd"/>
            <w:r w:rsidRPr="005554D2">
              <w:rPr>
                <w:sz w:val="18"/>
                <w:szCs w:val="18"/>
              </w:rPr>
              <w:t xml:space="preserve"> author</w:t>
            </w:r>
          </w:p>
        </w:tc>
      </w:tr>
    </w:tbl>
    <w:p w14:paraId="03957088" w14:textId="052ACC01" w:rsidR="002209B2" w:rsidRPr="00E576C9" w:rsidRDefault="002209B2" w:rsidP="008D5D2B">
      <w:pPr>
        <w:spacing w:line="360" w:lineRule="auto"/>
        <w:rPr>
          <w:sz w:val="28"/>
          <w:szCs w:val="28"/>
        </w:rPr>
      </w:pPr>
      <w:bookmarkStart w:id="1" w:name="_GoBack"/>
      <w:bookmarkEnd w:id="1"/>
    </w:p>
    <w:sectPr w:rsidR="002209B2" w:rsidRPr="00E576C9" w:rsidSect="00155C8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E8CCB1" w14:textId="77777777" w:rsidR="00E576C9" w:rsidRDefault="00E576C9">
      <w:r>
        <w:separator/>
      </w:r>
    </w:p>
  </w:endnote>
  <w:endnote w:type="continuationSeparator" w:id="0">
    <w:p w14:paraId="7FB39ADC" w14:textId="77777777" w:rsidR="00E576C9" w:rsidRDefault="00E5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Palatino Linotype">
    <w:panose1 w:val="02040502050505030304"/>
    <w:charset w:val="00"/>
    <w:family w:val="auto"/>
    <w:pitch w:val="variable"/>
    <w:sig w:usb0="E0000287" w:usb1="40000013" w:usb2="00000000" w:usb3="00000000" w:csb0="0000019F" w:csb1="00000000"/>
  </w:font>
  <w:font w:name="Estrangelo Edessa">
    <w:panose1 w:val="00000000000000000000"/>
    <w:charset w:val="01"/>
    <w:family w:val="roman"/>
    <w:notTrueType/>
    <w:pitch w:val="variable"/>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0F0D3" w14:textId="77777777" w:rsidR="00E576C9" w:rsidRDefault="00E576C9" w:rsidP="00854F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1B39C81" w14:textId="77777777" w:rsidR="00E576C9" w:rsidRDefault="00E576C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8AF4C" w14:textId="77777777" w:rsidR="00E576C9" w:rsidRPr="00854FD0" w:rsidRDefault="00E576C9" w:rsidP="00854FD0">
    <w:pPr>
      <w:pStyle w:val="Footer"/>
      <w:framePr w:wrap="around" w:vAnchor="text" w:hAnchor="margin" w:xAlign="center" w:y="1"/>
      <w:rPr>
        <w:rStyle w:val="PageNumber"/>
        <w:sz w:val="22"/>
        <w:szCs w:val="22"/>
      </w:rPr>
    </w:pPr>
    <w:r w:rsidRPr="00854FD0">
      <w:rPr>
        <w:rStyle w:val="PageNumber"/>
        <w:sz w:val="22"/>
        <w:szCs w:val="22"/>
      </w:rPr>
      <w:fldChar w:fldCharType="begin"/>
    </w:r>
    <w:r w:rsidRPr="00854FD0">
      <w:rPr>
        <w:rStyle w:val="PageNumber"/>
        <w:sz w:val="22"/>
        <w:szCs w:val="22"/>
      </w:rPr>
      <w:instrText xml:space="preserve">PAGE  </w:instrText>
    </w:r>
    <w:r w:rsidRPr="00854FD0">
      <w:rPr>
        <w:rStyle w:val="PageNumber"/>
        <w:sz w:val="22"/>
        <w:szCs w:val="22"/>
      </w:rPr>
      <w:fldChar w:fldCharType="separate"/>
    </w:r>
    <w:r w:rsidR="008D5D2B">
      <w:rPr>
        <w:rStyle w:val="PageNumber"/>
        <w:noProof/>
        <w:sz w:val="22"/>
        <w:szCs w:val="22"/>
      </w:rPr>
      <w:t>69</w:t>
    </w:r>
    <w:r w:rsidRPr="00854FD0">
      <w:rPr>
        <w:rStyle w:val="PageNumber"/>
        <w:sz w:val="22"/>
        <w:szCs w:val="22"/>
      </w:rPr>
      <w:fldChar w:fldCharType="end"/>
    </w:r>
  </w:p>
  <w:p w14:paraId="1279D5A0" w14:textId="77777777" w:rsidR="00E576C9" w:rsidRDefault="00E576C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013A0" w14:textId="77777777" w:rsidR="00E576C9" w:rsidRDefault="00E576C9">
      <w:r>
        <w:separator/>
      </w:r>
    </w:p>
  </w:footnote>
  <w:footnote w:type="continuationSeparator" w:id="0">
    <w:p w14:paraId="62A0318B" w14:textId="77777777" w:rsidR="00E576C9" w:rsidRDefault="00E576C9">
      <w:r>
        <w:continuationSeparator/>
      </w:r>
    </w:p>
  </w:footnote>
  <w:footnote w:id="1">
    <w:p w14:paraId="3233C046" w14:textId="77777777" w:rsidR="00E576C9" w:rsidRPr="00BB3D8E" w:rsidRDefault="00E576C9" w:rsidP="001B20F9">
      <w:pPr>
        <w:pStyle w:val="FootnoteText"/>
      </w:pPr>
      <w:r>
        <w:rPr>
          <w:rStyle w:val="FootnoteReference"/>
        </w:rPr>
        <w:footnoteRef/>
      </w:r>
      <w:r>
        <w:t xml:space="preserve"> The term Latino, used synonymously with Hispanic, is used in this paper for ease of communication.</w:t>
      </w:r>
    </w:p>
  </w:footnote>
  <w:footnote w:id="2">
    <w:p w14:paraId="7A55526C" w14:textId="55E0EAC0" w:rsidR="00E576C9" w:rsidRDefault="00E576C9" w:rsidP="00E576C9">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BE4D3" w14:textId="77777777" w:rsidR="00E576C9" w:rsidRDefault="00E576C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563557" w14:textId="77777777" w:rsidR="00E576C9" w:rsidRDefault="00E576C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Ind w:w="108" w:type="dxa"/>
      <w:tblLook w:val="0000" w:firstRow="0" w:lastRow="0" w:firstColumn="0" w:lastColumn="0" w:noHBand="0" w:noVBand="0"/>
    </w:tblPr>
    <w:tblGrid>
      <w:gridCol w:w="9180"/>
    </w:tblGrid>
    <w:tr w:rsidR="00E576C9" w14:paraId="485C5B68" w14:textId="77777777">
      <w:tc>
        <w:tcPr>
          <w:tcW w:w="9180" w:type="dxa"/>
        </w:tcPr>
        <w:p w14:paraId="3913D197" w14:textId="77777777" w:rsidR="00E576C9" w:rsidRPr="00D54E85" w:rsidRDefault="00E576C9" w:rsidP="00D75564">
          <w:pPr>
            <w:pStyle w:val="Header"/>
            <w:ind w:right="360"/>
            <w:rPr>
              <w:i/>
              <w:iCs/>
              <w:sz w:val="16"/>
              <w:szCs w:val="16"/>
            </w:rPr>
          </w:pPr>
          <w:r>
            <w:rPr>
              <w:i/>
              <w:iCs/>
              <w:sz w:val="16"/>
              <w:szCs w:val="16"/>
            </w:rPr>
            <w:t xml:space="preserve">Perez, M. A., &amp; </w:t>
          </w:r>
          <w:proofErr w:type="spellStart"/>
          <w:r>
            <w:rPr>
              <w:i/>
              <w:iCs/>
              <w:sz w:val="16"/>
              <w:szCs w:val="16"/>
            </w:rPr>
            <w:t>Luquis</w:t>
          </w:r>
          <w:proofErr w:type="spellEnd"/>
          <w:r>
            <w:rPr>
              <w:i/>
              <w:iCs/>
              <w:sz w:val="16"/>
              <w:szCs w:val="16"/>
            </w:rPr>
            <w:t>, R. R.</w:t>
          </w:r>
          <w:r w:rsidRPr="00D54E85">
            <w:rPr>
              <w:i/>
              <w:iCs/>
              <w:sz w:val="16"/>
              <w:szCs w:val="16"/>
            </w:rPr>
            <w:t xml:space="preserve"> / Californian</w:t>
          </w:r>
          <w:r>
            <w:rPr>
              <w:i/>
              <w:iCs/>
              <w:sz w:val="16"/>
              <w:szCs w:val="16"/>
            </w:rPr>
            <w:t xml:space="preserve"> Journal of Health Promotion 2012</w:t>
          </w:r>
          <w:r w:rsidRPr="00D54E85">
            <w:rPr>
              <w:i/>
              <w:iCs/>
              <w:sz w:val="16"/>
              <w:szCs w:val="16"/>
            </w:rPr>
            <w:t xml:space="preserve">, Volume </w:t>
          </w:r>
          <w:r>
            <w:rPr>
              <w:i/>
              <w:iCs/>
              <w:sz w:val="16"/>
              <w:szCs w:val="16"/>
            </w:rPr>
            <w:t xml:space="preserve">10, Special Issue: </w:t>
          </w:r>
          <w:r w:rsidRPr="002531E2">
            <w:rPr>
              <w:bCs/>
              <w:i/>
              <w:sz w:val="16"/>
              <w:szCs w:val="16"/>
            </w:rPr>
            <w:t>Health Disparities in Latino Communities</w:t>
          </w:r>
          <w:r w:rsidRPr="00D54E85">
            <w:rPr>
              <w:i/>
              <w:iCs/>
              <w:sz w:val="16"/>
              <w:szCs w:val="16"/>
            </w:rPr>
            <w:t xml:space="preserve">, </w:t>
          </w:r>
          <w:r>
            <w:rPr>
              <w:i/>
              <w:iCs/>
              <w:sz w:val="16"/>
              <w:szCs w:val="16"/>
            </w:rPr>
            <w:t>65-</w:t>
          </w:r>
        </w:p>
      </w:tc>
    </w:tr>
  </w:tbl>
  <w:p w14:paraId="1A2B7E8C" w14:textId="77777777" w:rsidR="00E576C9" w:rsidRDefault="00E576C9">
    <w:pPr>
      <w:pStyle w:val="Header"/>
      <w:rPr>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36"/>
    <w:rsid w:val="00012472"/>
    <w:rsid w:val="00021FC0"/>
    <w:rsid w:val="000356D6"/>
    <w:rsid w:val="00037E84"/>
    <w:rsid w:val="0004191F"/>
    <w:rsid w:val="00041AAD"/>
    <w:rsid w:val="000546B2"/>
    <w:rsid w:val="000561ED"/>
    <w:rsid w:val="000959DC"/>
    <w:rsid w:val="000C00CD"/>
    <w:rsid w:val="0010155B"/>
    <w:rsid w:val="00111C12"/>
    <w:rsid w:val="00155C82"/>
    <w:rsid w:val="0016523D"/>
    <w:rsid w:val="00172F5E"/>
    <w:rsid w:val="001B20F9"/>
    <w:rsid w:val="001E1F34"/>
    <w:rsid w:val="002049AB"/>
    <w:rsid w:val="002209B2"/>
    <w:rsid w:val="00232719"/>
    <w:rsid w:val="002331C1"/>
    <w:rsid w:val="00237AC0"/>
    <w:rsid w:val="002469C7"/>
    <w:rsid w:val="002811E8"/>
    <w:rsid w:val="002967F1"/>
    <w:rsid w:val="002A20A2"/>
    <w:rsid w:val="002A2B7B"/>
    <w:rsid w:val="002D3329"/>
    <w:rsid w:val="002E614D"/>
    <w:rsid w:val="002F77B0"/>
    <w:rsid w:val="003019A3"/>
    <w:rsid w:val="00331C2E"/>
    <w:rsid w:val="0034301D"/>
    <w:rsid w:val="003535D4"/>
    <w:rsid w:val="003627EC"/>
    <w:rsid w:val="00370F08"/>
    <w:rsid w:val="00391A8D"/>
    <w:rsid w:val="00396848"/>
    <w:rsid w:val="003B6243"/>
    <w:rsid w:val="003C360F"/>
    <w:rsid w:val="003D4B0C"/>
    <w:rsid w:val="003E1E8A"/>
    <w:rsid w:val="003F4074"/>
    <w:rsid w:val="00410631"/>
    <w:rsid w:val="0042351D"/>
    <w:rsid w:val="00425DA3"/>
    <w:rsid w:val="004419EC"/>
    <w:rsid w:val="00450125"/>
    <w:rsid w:val="00473F43"/>
    <w:rsid w:val="00491D0A"/>
    <w:rsid w:val="00491DAE"/>
    <w:rsid w:val="00493A3A"/>
    <w:rsid w:val="004A7A06"/>
    <w:rsid w:val="004D03AF"/>
    <w:rsid w:val="004E4D64"/>
    <w:rsid w:val="005308ED"/>
    <w:rsid w:val="005554D2"/>
    <w:rsid w:val="005833DE"/>
    <w:rsid w:val="00586B1C"/>
    <w:rsid w:val="005A07E4"/>
    <w:rsid w:val="005A5764"/>
    <w:rsid w:val="005F5778"/>
    <w:rsid w:val="006079AC"/>
    <w:rsid w:val="0062726B"/>
    <w:rsid w:val="00630136"/>
    <w:rsid w:val="00635705"/>
    <w:rsid w:val="00642553"/>
    <w:rsid w:val="00643448"/>
    <w:rsid w:val="00655224"/>
    <w:rsid w:val="00681D32"/>
    <w:rsid w:val="00682AF9"/>
    <w:rsid w:val="00683CF2"/>
    <w:rsid w:val="006A662D"/>
    <w:rsid w:val="006B5B78"/>
    <w:rsid w:val="00700F1D"/>
    <w:rsid w:val="0074270A"/>
    <w:rsid w:val="00751B84"/>
    <w:rsid w:val="00760D18"/>
    <w:rsid w:val="00762457"/>
    <w:rsid w:val="0077657E"/>
    <w:rsid w:val="007B3DF9"/>
    <w:rsid w:val="007E3233"/>
    <w:rsid w:val="008239BF"/>
    <w:rsid w:val="008540F8"/>
    <w:rsid w:val="00854FD0"/>
    <w:rsid w:val="00862F30"/>
    <w:rsid w:val="00874EDA"/>
    <w:rsid w:val="0089340C"/>
    <w:rsid w:val="00895470"/>
    <w:rsid w:val="008B2B9F"/>
    <w:rsid w:val="008D5D2B"/>
    <w:rsid w:val="0091424D"/>
    <w:rsid w:val="00925E6B"/>
    <w:rsid w:val="0096069F"/>
    <w:rsid w:val="0096650C"/>
    <w:rsid w:val="009769EC"/>
    <w:rsid w:val="009822B2"/>
    <w:rsid w:val="00987F79"/>
    <w:rsid w:val="009C5FB4"/>
    <w:rsid w:val="00A07A59"/>
    <w:rsid w:val="00A30A49"/>
    <w:rsid w:val="00A8379F"/>
    <w:rsid w:val="00AE5556"/>
    <w:rsid w:val="00B13DCC"/>
    <w:rsid w:val="00B458D4"/>
    <w:rsid w:val="00B50B37"/>
    <w:rsid w:val="00B62990"/>
    <w:rsid w:val="00B84554"/>
    <w:rsid w:val="00BA3ABB"/>
    <w:rsid w:val="00BA3F94"/>
    <w:rsid w:val="00BA4448"/>
    <w:rsid w:val="00BB329C"/>
    <w:rsid w:val="00C30D54"/>
    <w:rsid w:val="00C326F6"/>
    <w:rsid w:val="00C623DD"/>
    <w:rsid w:val="00CA64FD"/>
    <w:rsid w:val="00CA7C49"/>
    <w:rsid w:val="00CC1083"/>
    <w:rsid w:val="00CD42ED"/>
    <w:rsid w:val="00D03FA5"/>
    <w:rsid w:val="00D43A6B"/>
    <w:rsid w:val="00D54E85"/>
    <w:rsid w:val="00D75564"/>
    <w:rsid w:val="00DA0CFE"/>
    <w:rsid w:val="00DA6FC6"/>
    <w:rsid w:val="00DF7A37"/>
    <w:rsid w:val="00E132EE"/>
    <w:rsid w:val="00E51BEC"/>
    <w:rsid w:val="00E576C9"/>
    <w:rsid w:val="00EB601F"/>
    <w:rsid w:val="00EC16D5"/>
    <w:rsid w:val="00ED746B"/>
    <w:rsid w:val="00F23C8E"/>
    <w:rsid w:val="00F928FC"/>
    <w:rsid w:val="00FA0641"/>
    <w:rsid w:val="00FA4FB4"/>
    <w:rsid w:val="00FB54C4"/>
    <w:rsid w:val="00FC26AC"/>
    <w:rsid w:val="00FC409F"/>
    <w:rsid w:val="00FC5230"/>
    <w:rsid w:val="00FC7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regrouptable v:ext="edit">
        <o:entry new="1" old="0"/>
      </o:regrouptable>
    </o:shapelayout>
  </w:shapeDefaults>
  <w:decimalSymbol w:val="."/>
  <w:listSeparator w:val=","/>
  <w14:docId w14:val="620E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B20F9"/>
    <w:pPr>
      <w:spacing w:before="100" w:beforeAutospacing="1" w:after="100" w:afterAutospacing="1"/>
    </w:pPr>
  </w:style>
  <w:style w:type="paragraph" w:customStyle="1" w:styleId="clear">
    <w:name w:val="clear"/>
    <w:basedOn w:val="NormalWeb"/>
    <w:rsid w:val="001B20F9"/>
    <w:pPr>
      <w:spacing w:after="240" w:afterAutospacing="0"/>
      <w:jc w:val="both"/>
    </w:pPr>
    <w:rPr>
      <w:u w:val="single"/>
    </w:rPr>
  </w:style>
  <w:style w:type="paragraph" w:styleId="BodyText">
    <w:name w:val="Body Text"/>
    <w:basedOn w:val="Normal"/>
    <w:link w:val="BodyTextChar"/>
    <w:rsid w:val="001B20F9"/>
    <w:rPr>
      <w:sz w:val="22"/>
    </w:rPr>
  </w:style>
  <w:style w:type="character" w:customStyle="1" w:styleId="BodyTextChar">
    <w:name w:val="Body Text Char"/>
    <w:basedOn w:val="DefaultParagraphFont"/>
    <w:link w:val="BodyText"/>
    <w:rsid w:val="001B20F9"/>
    <w:rPr>
      <w:sz w:val="22"/>
      <w:szCs w:val="24"/>
    </w:rPr>
  </w:style>
  <w:style w:type="paragraph" w:styleId="FootnoteText">
    <w:name w:val="footnote text"/>
    <w:basedOn w:val="Normal"/>
    <w:link w:val="FootnoteTextChar"/>
    <w:unhideWhenUsed/>
    <w:rsid w:val="001B20F9"/>
    <w:rPr>
      <w:sz w:val="20"/>
      <w:szCs w:val="20"/>
    </w:rPr>
  </w:style>
  <w:style w:type="character" w:customStyle="1" w:styleId="FootnoteTextChar">
    <w:name w:val="Footnote Text Char"/>
    <w:basedOn w:val="DefaultParagraphFont"/>
    <w:link w:val="FootnoteText"/>
    <w:uiPriority w:val="99"/>
    <w:rsid w:val="001B20F9"/>
  </w:style>
  <w:style w:type="character" w:styleId="FootnoteReference">
    <w:name w:val="footnote reference"/>
    <w:unhideWhenUsed/>
    <w:rsid w:val="001B20F9"/>
    <w:rPr>
      <w:vertAlign w:val="superscript"/>
    </w:rPr>
  </w:style>
  <w:style w:type="paragraph" w:styleId="BodyTextIndent">
    <w:name w:val="Body Text Indent"/>
    <w:basedOn w:val="Normal"/>
    <w:link w:val="BodyTextIndentChar"/>
    <w:uiPriority w:val="99"/>
    <w:unhideWhenUsed/>
    <w:rsid w:val="001B20F9"/>
    <w:pPr>
      <w:spacing w:after="120"/>
      <w:ind w:left="360"/>
    </w:pPr>
    <w:rPr>
      <w:lang w:val="x-none" w:eastAsia="x-none"/>
    </w:rPr>
  </w:style>
  <w:style w:type="character" w:customStyle="1" w:styleId="BodyTextIndentChar">
    <w:name w:val="Body Text Indent Char"/>
    <w:basedOn w:val="DefaultParagraphFont"/>
    <w:link w:val="BodyTextIndent"/>
    <w:uiPriority w:val="99"/>
    <w:rsid w:val="001B20F9"/>
    <w:rPr>
      <w:sz w:val="24"/>
      <w:szCs w:val="24"/>
      <w:lang w:val="x-none" w:eastAsia="x-none"/>
    </w:rPr>
  </w:style>
  <w:style w:type="paragraph" w:styleId="BalloonText">
    <w:name w:val="Balloon Text"/>
    <w:basedOn w:val="Normal"/>
    <w:link w:val="BalloonTextChar"/>
    <w:rsid w:val="001B20F9"/>
    <w:rPr>
      <w:rFonts w:ascii="Lucida Grande" w:hAnsi="Lucida Grande" w:cs="Lucida Grande"/>
      <w:sz w:val="18"/>
      <w:szCs w:val="18"/>
    </w:rPr>
  </w:style>
  <w:style w:type="character" w:customStyle="1" w:styleId="BalloonTextChar">
    <w:name w:val="Balloon Text Char"/>
    <w:basedOn w:val="DefaultParagraphFont"/>
    <w:link w:val="BalloonText"/>
    <w:rsid w:val="001B20F9"/>
    <w:rPr>
      <w:rFonts w:ascii="Lucida Grande" w:hAnsi="Lucida Grande" w:cs="Lucida Grande"/>
      <w:sz w:val="18"/>
      <w:szCs w:val="18"/>
    </w:rPr>
  </w:style>
  <w:style w:type="paragraph" w:customStyle="1" w:styleId="References">
    <w:name w:val="References"/>
    <w:basedOn w:val="Normal"/>
    <w:rsid w:val="00331C2E"/>
    <w:pPr>
      <w:keepLines/>
      <w:spacing w:before="240" w:line="240" w:lineRule="atLeast"/>
      <w:ind w:left="547" w:hanging="547"/>
    </w:pPr>
    <w:rPr>
      <w:sz w:val="26"/>
    </w:rPr>
  </w:style>
  <w:style w:type="character" w:styleId="FollowedHyperlink">
    <w:name w:val="FollowedHyperlink"/>
    <w:basedOn w:val="DefaultParagraphFont"/>
    <w:rsid w:val="00331C2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B20F9"/>
    <w:pPr>
      <w:spacing w:before="100" w:beforeAutospacing="1" w:after="100" w:afterAutospacing="1"/>
    </w:pPr>
  </w:style>
  <w:style w:type="paragraph" w:customStyle="1" w:styleId="clear">
    <w:name w:val="clear"/>
    <w:basedOn w:val="NormalWeb"/>
    <w:rsid w:val="001B20F9"/>
    <w:pPr>
      <w:spacing w:after="240" w:afterAutospacing="0"/>
      <w:jc w:val="both"/>
    </w:pPr>
    <w:rPr>
      <w:u w:val="single"/>
    </w:rPr>
  </w:style>
  <w:style w:type="paragraph" w:styleId="BodyText">
    <w:name w:val="Body Text"/>
    <w:basedOn w:val="Normal"/>
    <w:link w:val="BodyTextChar"/>
    <w:rsid w:val="001B20F9"/>
    <w:rPr>
      <w:sz w:val="22"/>
    </w:rPr>
  </w:style>
  <w:style w:type="character" w:customStyle="1" w:styleId="BodyTextChar">
    <w:name w:val="Body Text Char"/>
    <w:basedOn w:val="DefaultParagraphFont"/>
    <w:link w:val="BodyText"/>
    <w:rsid w:val="001B20F9"/>
    <w:rPr>
      <w:sz w:val="22"/>
      <w:szCs w:val="24"/>
    </w:rPr>
  </w:style>
  <w:style w:type="paragraph" w:styleId="FootnoteText">
    <w:name w:val="footnote text"/>
    <w:basedOn w:val="Normal"/>
    <w:link w:val="FootnoteTextChar"/>
    <w:unhideWhenUsed/>
    <w:rsid w:val="001B20F9"/>
    <w:rPr>
      <w:sz w:val="20"/>
      <w:szCs w:val="20"/>
    </w:rPr>
  </w:style>
  <w:style w:type="character" w:customStyle="1" w:styleId="FootnoteTextChar">
    <w:name w:val="Footnote Text Char"/>
    <w:basedOn w:val="DefaultParagraphFont"/>
    <w:link w:val="FootnoteText"/>
    <w:uiPriority w:val="99"/>
    <w:rsid w:val="001B20F9"/>
  </w:style>
  <w:style w:type="character" w:styleId="FootnoteReference">
    <w:name w:val="footnote reference"/>
    <w:unhideWhenUsed/>
    <w:rsid w:val="001B20F9"/>
    <w:rPr>
      <w:vertAlign w:val="superscript"/>
    </w:rPr>
  </w:style>
  <w:style w:type="paragraph" w:styleId="BodyTextIndent">
    <w:name w:val="Body Text Indent"/>
    <w:basedOn w:val="Normal"/>
    <w:link w:val="BodyTextIndentChar"/>
    <w:uiPriority w:val="99"/>
    <w:unhideWhenUsed/>
    <w:rsid w:val="001B20F9"/>
    <w:pPr>
      <w:spacing w:after="120"/>
      <w:ind w:left="360"/>
    </w:pPr>
    <w:rPr>
      <w:lang w:val="x-none" w:eastAsia="x-none"/>
    </w:rPr>
  </w:style>
  <w:style w:type="character" w:customStyle="1" w:styleId="BodyTextIndentChar">
    <w:name w:val="Body Text Indent Char"/>
    <w:basedOn w:val="DefaultParagraphFont"/>
    <w:link w:val="BodyTextIndent"/>
    <w:uiPriority w:val="99"/>
    <w:rsid w:val="001B20F9"/>
    <w:rPr>
      <w:sz w:val="24"/>
      <w:szCs w:val="24"/>
      <w:lang w:val="x-none" w:eastAsia="x-none"/>
    </w:rPr>
  </w:style>
  <w:style w:type="paragraph" w:styleId="BalloonText">
    <w:name w:val="Balloon Text"/>
    <w:basedOn w:val="Normal"/>
    <w:link w:val="BalloonTextChar"/>
    <w:rsid w:val="001B20F9"/>
    <w:rPr>
      <w:rFonts w:ascii="Lucida Grande" w:hAnsi="Lucida Grande" w:cs="Lucida Grande"/>
      <w:sz w:val="18"/>
      <w:szCs w:val="18"/>
    </w:rPr>
  </w:style>
  <w:style w:type="character" w:customStyle="1" w:styleId="BalloonTextChar">
    <w:name w:val="Balloon Text Char"/>
    <w:basedOn w:val="DefaultParagraphFont"/>
    <w:link w:val="BalloonText"/>
    <w:rsid w:val="001B20F9"/>
    <w:rPr>
      <w:rFonts w:ascii="Lucida Grande" w:hAnsi="Lucida Grande" w:cs="Lucida Grande"/>
      <w:sz w:val="18"/>
      <w:szCs w:val="18"/>
    </w:rPr>
  </w:style>
  <w:style w:type="paragraph" w:customStyle="1" w:styleId="References">
    <w:name w:val="References"/>
    <w:basedOn w:val="Normal"/>
    <w:rsid w:val="00331C2E"/>
    <w:pPr>
      <w:keepLines/>
      <w:spacing w:before="240" w:line="240" w:lineRule="atLeast"/>
      <w:ind w:left="547" w:hanging="547"/>
    </w:pPr>
    <w:rPr>
      <w:sz w:val="26"/>
    </w:rPr>
  </w:style>
  <w:style w:type="character" w:styleId="FollowedHyperlink">
    <w:name w:val="FollowedHyperlink"/>
    <w:basedOn w:val="DefaultParagraphFont"/>
    <w:rsid w:val="00331C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79982FD-8850-224F-9CC6-C9492D716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2179</Words>
  <Characters>12425</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PASTE TITLE HERE</vt:lpstr>
    </vt:vector>
  </TitlesOfParts>
  <Company>California State University, Fullerton</Company>
  <LinksUpToDate>false</LinksUpToDate>
  <CharactersWithSpaces>14575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 TITLE HERE</dc:title>
  <dc:subject>Californian Journal of Health Promotion 2011 Volume 9 Issue 2</dc:subject>
  <dc:creator>PASTE AUTHOR HERE</dc:creator>
  <cp:keywords>PASTE KEYWORDS HERE</cp:keywords>
  <dc:description>http://www.cjhp.org</dc:description>
  <cp:lastModifiedBy>Georgia Halkia</cp:lastModifiedBy>
  <cp:revision>3</cp:revision>
  <cp:lastPrinted>2007-09-01T20:45:00Z</cp:lastPrinted>
  <dcterms:created xsi:type="dcterms:W3CDTF">2012-11-20T19:57:00Z</dcterms:created>
  <dcterms:modified xsi:type="dcterms:W3CDTF">2012-11-20T20:00:00Z</dcterms:modified>
</cp:coreProperties>
</file>