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136" w:rsidRDefault="00630136">
      <w:pPr>
        <w:pStyle w:val="Header"/>
        <w:tabs>
          <w:tab w:val="clear" w:pos="4320"/>
          <w:tab w:val="clear" w:pos="8640"/>
        </w:tabs>
        <w:jc w:val="center"/>
      </w:pPr>
    </w:p>
    <w:p w:rsidR="00A64765" w:rsidRPr="00A64765" w:rsidRDefault="00A64765" w:rsidP="00A64765">
      <w:pPr>
        <w:pStyle w:val="Header"/>
        <w:jc w:val="center"/>
        <w:rPr>
          <w:sz w:val="28"/>
        </w:rPr>
      </w:pPr>
      <w:r w:rsidRPr="00A64765">
        <w:rPr>
          <w:sz w:val="28"/>
        </w:rPr>
        <w:t xml:space="preserve">Prevalence of Overweight and Obesity in Hispanic Preschool Children </w:t>
      </w:r>
    </w:p>
    <w:p w:rsidR="00DF7A37" w:rsidRDefault="00A64765" w:rsidP="00A64765">
      <w:pPr>
        <w:pStyle w:val="Header"/>
        <w:tabs>
          <w:tab w:val="clear" w:pos="4320"/>
          <w:tab w:val="clear" w:pos="8640"/>
        </w:tabs>
        <w:jc w:val="center"/>
        <w:rPr>
          <w:sz w:val="28"/>
        </w:rPr>
      </w:pPr>
      <w:proofErr w:type="gramStart"/>
      <w:r w:rsidRPr="00A64765">
        <w:rPr>
          <w:sz w:val="28"/>
        </w:rPr>
        <w:t>in</w:t>
      </w:r>
      <w:proofErr w:type="gramEnd"/>
      <w:r w:rsidRPr="00A64765">
        <w:rPr>
          <w:sz w:val="28"/>
        </w:rPr>
        <w:t xml:space="preserve"> San Luis Obispo County, California</w:t>
      </w:r>
    </w:p>
    <w:p w:rsidR="00A64765" w:rsidRPr="00DF7A37" w:rsidRDefault="00A64765" w:rsidP="00A64765">
      <w:pPr>
        <w:pStyle w:val="Header"/>
        <w:tabs>
          <w:tab w:val="clear" w:pos="4320"/>
          <w:tab w:val="clear" w:pos="8640"/>
        </w:tabs>
        <w:jc w:val="center"/>
        <w:rPr>
          <w:sz w:val="20"/>
          <w:szCs w:val="20"/>
        </w:rPr>
      </w:pPr>
    </w:p>
    <w:p w:rsidR="00854FD0" w:rsidRDefault="00A64765">
      <w:pPr>
        <w:pStyle w:val="Header"/>
        <w:tabs>
          <w:tab w:val="clear" w:pos="4320"/>
          <w:tab w:val="clear" w:pos="8640"/>
        </w:tabs>
        <w:jc w:val="center"/>
      </w:pPr>
      <w:r w:rsidRPr="00A64765">
        <w:t>Kristine Z. Jankovitz</w:t>
      </w:r>
      <w:r w:rsidRPr="00A64765">
        <w:rPr>
          <w:vertAlign w:val="superscript"/>
        </w:rPr>
        <w:t>1</w:t>
      </w:r>
      <w:r>
        <w:t xml:space="preserve">, </w:t>
      </w:r>
      <w:r w:rsidRPr="00A64765">
        <w:t>Karen J. McGaughey</w:t>
      </w:r>
      <w:r w:rsidRPr="00A64765">
        <w:rPr>
          <w:vertAlign w:val="superscript"/>
        </w:rPr>
        <w:t>1</w:t>
      </w:r>
      <w:r>
        <w:t xml:space="preserve">, </w:t>
      </w:r>
      <w:r w:rsidRPr="00A64765">
        <w:t>Kyla Tom</w:t>
      </w:r>
      <w:r w:rsidRPr="00A64765">
        <w:rPr>
          <w:vertAlign w:val="superscript"/>
        </w:rPr>
        <w:t>1</w:t>
      </w:r>
      <w:r>
        <w:t xml:space="preserve">, </w:t>
      </w:r>
      <w:proofErr w:type="spellStart"/>
      <w:r w:rsidRPr="00A64765">
        <w:t>Dayna</w:t>
      </w:r>
      <w:proofErr w:type="spellEnd"/>
      <w:r w:rsidRPr="00A64765">
        <w:t xml:space="preserve"> Ravalin</w:t>
      </w:r>
      <w:r w:rsidRPr="00A64765">
        <w:rPr>
          <w:vertAlign w:val="superscript"/>
        </w:rPr>
        <w:t>2</w:t>
      </w:r>
      <w:r>
        <w:t xml:space="preserve">, and </w:t>
      </w:r>
      <w:r w:rsidRPr="00A64765">
        <w:t xml:space="preserve">Ann </w:t>
      </w:r>
      <w:proofErr w:type="spellStart"/>
      <w:r w:rsidRPr="00A64765">
        <w:t>Yelmokas</w:t>
      </w:r>
      <w:proofErr w:type="spellEnd"/>
      <w:r w:rsidRPr="00A64765">
        <w:t xml:space="preserve"> McDermott</w:t>
      </w:r>
      <w:r w:rsidRPr="00A64765">
        <w:rPr>
          <w:vertAlign w:val="superscript"/>
        </w:rPr>
        <w:t>1</w:t>
      </w:r>
    </w:p>
    <w:p w:rsidR="00A64765" w:rsidRDefault="00A64765">
      <w:pPr>
        <w:pStyle w:val="Header"/>
        <w:tabs>
          <w:tab w:val="clear" w:pos="4320"/>
          <w:tab w:val="clear" w:pos="8640"/>
        </w:tabs>
        <w:jc w:val="center"/>
        <w:rPr>
          <w:sz w:val="20"/>
        </w:rPr>
      </w:pPr>
    </w:p>
    <w:p w:rsidR="00A64765" w:rsidRPr="00A64765" w:rsidRDefault="00A64765" w:rsidP="00A64765">
      <w:pPr>
        <w:jc w:val="center"/>
        <w:rPr>
          <w:i/>
          <w:iCs/>
        </w:rPr>
      </w:pPr>
      <w:r w:rsidRPr="00A64765">
        <w:rPr>
          <w:i/>
          <w:iCs/>
          <w:vertAlign w:val="superscript"/>
        </w:rPr>
        <w:t>1</w:t>
      </w:r>
      <w:r w:rsidRPr="00A64765">
        <w:rPr>
          <w:i/>
          <w:iCs/>
        </w:rPr>
        <w:t>California Polytechnic State University, San Luis Obispo, CA</w:t>
      </w:r>
    </w:p>
    <w:p w:rsidR="00854FD0" w:rsidRDefault="00A64765" w:rsidP="00A64765">
      <w:pPr>
        <w:jc w:val="center"/>
        <w:rPr>
          <w:sz w:val="22"/>
        </w:rPr>
      </w:pPr>
      <w:r w:rsidRPr="00A64765">
        <w:rPr>
          <w:i/>
          <w:iCs/>
          <w:vertAlign w:val="superscript"/>
        </w:rPr>
        <w:t>2</w:t>
      </w:r>
      <w:r w:rsidRPr="00A64765">
        <w:rPr>
          <w:i/>
          <w:iCs/>
        </w:rPr>
        <w:t xml:space="preserve"> San Luis Obispo County Public Health </w:t>
      </w:r>
      <w:proofErr w:type="gramStart"/>
      <w:r w:rsidRPr="00A64765">
        <w:rPr>
          <w:i/>
          <w:iCs/>
        </w:rPr>
        <w:t>Department</w:t>
      </w:r>
      <w:proofErr w:type="gramEnd"/>
      <w:r w:rsidRPr="00A64765">
        <w:rPr>
          <w:i/>
          <w:iCs/>
        </w:rPr>
        <w:t>, CA</w:t>
      </w:r>
    </w:p>
    <w:p w:rsidR="00A64765" w:rsidRDefault="00A64765" w:rsidP="00450125">
      <w:pPr>
        <w:pStyle w:val="Heading2"/>
        <w:spacing w:line="360" w:lineRule="auto"/>
        <w:jc w:val="center"/>
        <w:rPr>
          <w:sz w:val="24"/>
        </w:rPr>
      </w:pPr>
    </w:p>
    <w:p w:rsidR="00854FD0" w:rsidRPr="00450125" w:rsidRDefault="00854FD0" w:rsidP="00450125">
      <w:pPr>
        <w:pStyle w:val="Heading2"/>
        <w:spacing w:line="360" w:lineRule="auto"/>
        <w:jc w:val="center"/>
        <w:rPr>
          <w:sz w:val="24"/>
        </w:rPr>
      </w:pPr>
      <w:r w:rsidRPr="00450125">
        <w:rPr>
          <w:sz w:val="24"/>
        </w:rPr>
        <w:t>Abstract</w:t>
      </w:r>
    </w:p>
    <w:p w:rsidR="00854FD0" w:rsidRPr="00A64765" w:rsidRDefault="00A64765" w:rsidP="00A64765">
      <w:pPr>
        <w:jc w:val="both"/>
        <w:rPr>
          <w:sz w:val="22"/>
          <w:szCs w:val="22"/>
        </w:rPr>
      </w:pPr>
      <w:r w:rsidRPr="00A64765">
        <w:rPr>
          <w:sz w:val="22"/>
          <w:szCs w:val="22"/>
        </w:rPr>
        <w:t>The purpose of the study was to determine the prevalence of overweight and obese (OW/OB) preschool children in San Luis Obispo County.  Preschool children ages 3-5 years were measured for height and weight in 2006 (n = 482) and in 2009/10 combined (n = 559).  The CDC BMI calculator for ages 2-20 was used to determine BMI classification. In 2006, 26.4% were OW/OB and by 2009/10, 34.8% were OW/OB. Rates were similar among boys and girls (p = 0.70) and increased significantly over time (p = 0.0070).  Caucasian and Hispanic children had similar OW/OB rates in 2006, but by 2009/10 the Hispanic children were 2.7 times more likely to be obese (CI: 1.68, 4.57).  Because Hispanic children were more likely to attend Head Start or California State preschools versus private preschools (78.0%, 81.0% and 7.4% respectively), it   appears Head Start and California State preschools would be a likely place for interventions directed to meet the needs of Hispanic preschoolers, and may serve to reverse the trend in childhood obesity and address the disparity in weight status among Hispanic preschool aged children.</w:t>
      </w:r>
    </w:p>
    <w:p w:rsidR="002331C1" w:rsidRPr="00ED746B" w:rsidRDefault="002331C1" w:rsidP="00ED746B">
      <w:pPr>
        <w:rPr>
          <w:sz w:val="22"/>
          <w:szCs w:val="22"/>
        </w:rPr>
      </w:pPr>
    </w:p>
    <w:p w:rsidR="00854FD0" w:rsidRPr="00655224" w:rsidRDefault="000959DC" w:rsidP="00630136">
      <w:pPr>
        <w:rPr>
          <w:sz w:val="20"/>
          <w:szCs w:val="20"/>
        </w:rPr>
      </w:pPr>
      <w:r>
        <w:rPr>
          <w:sz w:val="20"/>
          <w:szCs w:val="20"/>
        </w:rPr>
        <w:t>©</w:t>
      </w:r>
      <w:r w:rsidR="006A662D">
        <w:rPr>
          <w:sz w:val="20"/>
          <w:szCs w:val="20"/>
        </w:rPr>
        <w:t xml:space="preserve"> </w:t>
      </w:r>
      <w:r w:rsidR="003F4074">
        <w:rPr>
          <w:sz w:val="20"/>
          <w:szCs w:val="20"/>
        </w:rPr>
        <w:t>2012</w:t>
      </w:r>
      <w:r w:rsidR="00762457" w:rsidRPr="00655224">
        <w:rPr>
          <w:sz w:val="20"/>
          <w:szCs w:val="20"/>
        </w:rPr>
        <w:t xml:space="preserve"> </w:t>
      </w:r>
      <w:r w:rsidR="00854FD0" w:rsidRPr="00655224">
        <w:rPr>
          <w:sz w:val="20"/>
          <w:szCs w:val="20"/>
        </w:rPr>
        <w:t>Californian Journal of Health Promotion</w:t>
      </w:r>
      <w:r>
        <w:rPr>
          <w:sz w:val="20"/>
          <w:szCs w:val="20"/>
        </w:rPr>
        <w:t xml:space="preserve">. </w:t>
      </w:r>
      <w:r w:rsidR="00854FD0" w:rsidRPr="00655224">
        <w:rPr>
          <w:sz w:val="20"/>
          <w:szCs w:val="20"/>
        </w:rPr>
        <w:t>All rights reserved.</w:t>
      </w:r>
    </w:p>
    <w:p w:rsidR="00854FD0" w:rsidRPr="00643448" w:rsidRDefault="00854FD0" w:rsidP="00630136">
      <w:pPr>
        <w:rPr>
          <w:i/>
          <w:iCs/>
          <w:sz w:val="20"/>
          <w:szCs w:val="20"/>
        </w:rPr>
      </w:pPr>
      <w:r w:rsidRPr="00655224">
        <w:rPr>
          <w:i/>
          <w:iCs/>
          <w:sz w:val="20"/>
          <w:szCs w:val="20"/>
        </w:rPr>
        <w:t xml:space="preserve">Keywords: </w:t>
      </w:r>
      <w:r w:rsidR="00A64765" w:rsidRPr="00A64765">
        <w:rPr>
          <w:i/>
          <w:iCs/>
          <w:sz w:val="20"/>
          <w:szCs w:val="20"/>
        </w:rPr>
        <w:t>Obesity, overweight, preschool children, body mass index, disparity in weight status.</w:t>
      </w:r>
    </w:p>
    <w:p w:rsidR="00854FD0" w:rsidRPr="00655224" w:rsidRDefault="00854FD0">
      <w:pPr>
        <w:rPr>
          <w:sz w:val="22"/>
          <w:szCs w:val="22"/>
        </w:rPr>
      </w:pPr>
    </w:p>
    <w:p w:rsidR="00155C82" w:rsidRPr="00655224" w:rsidRDefault="00155C82" w:rsidP="00155C82">
      <w:pPr>
        <w:rPr>
          <w:sz w:val="22"/>
          <w:szCs w:val="22"/>
        </w:rPr>
      </w:pPr>
    </w:p>
    <w:p w:rsidR="00155C82" w:rsidRPr="00655224" w:rsidRDefault="00155C82" w:rsidP="00155C82">
      <w:pPr>
        <w:rPr>
          <w:b/>
          <w:sz w:val="22"/>
          <w:szCs w:val="22"/>
        </w:rPr>
        <w:sectPr w:rsidR="00155C82" w:rsidRPr="00655224" w:rsidSect="003820F8">
          <w:headerReference w:type="even" r:id="rId7"/>
          <w:headerReference w:type="default" r:id="rId8"/>
          <w:footerReference w:type="even" r:id="rId9"/>
          <w:footerReference w:type="default" r:id="rId10"/>
          <w:pgSz w:w="12240" w:h="15840"/>
          <w:pgMar w:top="1440" w:right="1440" w:bottom="1440" w:left="1440" w:header="720" w:footer="720" w:gutter="0"/>
          <w:pgNumType w:start="114"/>
          <w:cols w:space="720"/>
          <w:docGrid w:linePitch="360"/>
        </w:sectPr>
      </w:pPr>
    </w:p>
    <w:p w:rsidR="00A64765" w:rsidRPr="00A64765" w:rsidRDefault="00A64765" w:rsidP="00A64765">
      <w:pPr>
        <w:jc w:val="center"/>
        <w:rPr>
          <w:sz w:val="22"/>
          <w:szCs w:val="22"/>
        </w:rPr>
      </w:pPr>
      <w:r w:rsidRPr="00A64765">
        <w:rPr>
          <w:b/>
          <w:sz w:val="22"/>
          <w:szCs w:val="22"/>
        </w:rPr>
        <w:lastRenderedPageBreak/>
        <w:t>Introduction</w:t>
      </w:r>
    </w:p>
    <w:p w:rsidR="00A64765" w:rsidRDefault="00A64765" w:rsidP="00A64765">
      <w:pPr>
        <w:jc w:val="both"/>
        <w:rPr>
          <w:sz w:val="22"/>
          <w:szCs w:val="22"/>
        </w:rPr>
      </w:pPr>
    </w:p>
    <w:p w:rsidR="00A64765" w:rsidRDefault="00A64765" w:rsidP="00A64765">
      <w:pPr>
        <w:jc w:val="both"/>
        <w:rPr>
          <w:sz w:val="22"/>
          <w:szCs w:val="22"/>
        </w:rPr>
      </w:pPr>
      <w:r w:rsidRPr="00A64765">
        <w:rPr>
          <w:sz w:val="22"/>
          <w:szCs w:val="22"/>
        </w:rPr>
        <w:t>The trend toward overweight and obesity during childhood has been labeled an obesity epidemic and the prevalence in the United States has tripled in the past thirty years (Ogden &amp; Carroll, 2010; U.S. Department of Health &amp; Human Services, 2011).  The dramatic increase in obesity rates has become a public health crisis in part because early childhood overweight and obesity (OW/OB) have been found to be associated with OW/OB in adulthood (</w:t>
      </w:r>
      <w:proofErr w:type="spellStart"/>
      <w:r w:rsidRPr="00A64765">
        <w:rPr>
          <w:sz w:val="22"/>
          <w:szCs w:val="22"/>
        </w:rPr>
        <w:t>Brisbois</w:t>
      </w:r>
      <w:proofErr w:type="spellEnd"/>
      <w:r w:rsidRPr="00A64765">
        <w:rPr>
          <w:sz w:val="22"/>
          <w:szCs w:val="22"/>
        </w:rPr>
        <w:t xml:space="preserve">, Farmer &amp; </w:t>
      </w:r>
      <w:proofErr w:type="spellStart"/>
      <w:r w:rsidRPr="00A64765">
        <w:rPr>
          <w:sz w:val="22"/>
          <w:szCs w:val="22"/>
        </w:rPr>
        <w:t>McCargar</w:t>
      </w:r>
      <w:proofErr w:type="spellEnd"/>
      <w:r w:rsidRPr="00A64765">
        <w:rPr>
          <w:sz w:val="22"/>
          <w:szCs w:val="22"/>
        </w:rPr>
        <w:t>, 2011).  Further, OW/OB in childhood is a threat to health among all age, ethnic and socio-economic groups and is linked to heart disease, diabetes, metabolic syndrome, asthma, kidney disease and other co-morbidities (</w:t>
      </w:r>
      <w:proofErr w:type="spellStart"/>
      <w:r w:rsidRPr="00A64765">
        <w:rPr>
          <w:sz w:val="22"/>
          <w:szCs w:val="22"/>
        </w:rPr>
        <w:t>Diamont</w:t>
      </w:r>
      <w:proofErr w:type="spellEnd"/>
      <w:r w:rsidRPr="00A64765">
        <w:rPr>
          <w:sz w:val="22"/>
          <w:szCs w:val="22"/>
        </w:rPr>
        <w:t xml:space="preserve">, </w:t>
      </w:r>
      <w:proofErr w:type="spellStart"/>
      <w:r w:rsidRPr="00A64765">
        <w:rPr>
          <w:sz w:val="22"/>
          <w:szCs w:val="22"/>
        </w:rPr>
        <w:t>Babey</w:t>
      </w:r>
      <w:proofErr w:type="spellEnd"/>
      <w:r w:rsidRPr="00A64765">
        <w:rPr>
          <w:sz w:val="22"/>
          <w:szCs w:val="22"/>
        </w:rPr>
        <w:t xml:space="preserve">, </w:t>
      </w:r>
      <w:proofErr w:type="spellStart"/>
      <w:r w:rsidRPr="00A64765">
        <w:rPr>
          <w:sz w:val="22"/>
          <w:szCs w:val="22"/>
        </w:rPr>
        <w:t>Wolstein</w:t>
      </w:r>
      <w:proofErr w:type="spellEnd"/>
      <w:r w:rsidRPr="00A64765">
        <w:rPr>
          <w:sz w:val="22"/>
          <w:szCs w:val="22"/>
        </w:rPr>
        <w:t xml:space="preserve"> &amp; Jones, 2010; Singh, </w:t>
      </w:r>
      <w:proofErr w:type="spellStart"/>
      <w:r w:rsidRPr="00A64765">
        <w:rPr>
          <w:sz w:val="22"/>
          <w:szCs w:val="22"/>
        </w:rPr>
        <w:t>Kogan</w:t>
      </w:r>
      <w:proofErr w:type="spellEnd"/>
      <w:r w:rsidRPr="00A64765">
        <w:rPr>
          <w:sz w:val="22"/>
          <w:szCs w:val="22"/>
        </w:rPr>
        <w:t xml:space="preserve"> &amp; van </w:t>
      </w:r>
      <w:proofErr w:type="spellStart"/>
      <w:r w:rsidRPr="00A64765">
        <w:rPr>
          <w:sz w:val="22"/>
          <w:szCs w:val="22"/>
        </w:rPr>
        <w:t>Dyck</w:t>
      </w:r>
      <w:proofErr w:type="spellEnd"/>
      <w:r w:rsidRPr="00A64765">
        <w:rPr>
          <w:sz w:val="22"/>
          <w:szCs w:val="22"/>
        </w:rPr>
        <w:t xml:space="preserve">, 2010; Barton, Gilbert, </w:t>
      </w:r>
      <w:proofErr w:type="spellStart"/>
      <w:r w:rsidRPr="00A64765">
        <w:rPr>
          <w:sz w:val="22"/>
          <w:szCs w:val="22"/>
        </w:rPr>
        <w:t>Baramee</w:t>
      </w:r>
      <w:proofErr w:type="spellEnd"/>
      <w:r w:rsidRPr="00A64765">
        <w:rPr>
          <w:sz w:val="22"/>
          <w:szCs w:val="22"/>
        </w:rPr>
        <w:t xml:space="preserve"> &amp; Granger, 2006; Must, </w:t>
      </w:r>
      <w:proofErr w:type="spellStart"/>
      <w:r w:rsidRPr="00A64765">
        <w:rPr>
          <w:sz w:val="22"/>
          <w:szCs w:val="22"/>
        </w:rPr>
        <w:t>Spadano</w:t>
      </w:r>
      <w:proofErr w:type="spellEnd"/>
      <w:r w:rsidRPr="00A64765">
        <w:rPr>
          <w:sz w:val="22"/>
          <w:szCs w:val="22"/>
        </w:rPr>
        <w:t xml:space="preserve">, </w:t>
      </w:r>
      <w:proofErr w:type="spellStart"/>
      <w:r w:rsidRPr="00A64765">
        <w:rPr>
          <w:sz w:val="22"/>
          <w:szCs w:val="22"/>
        </w:rPr>
        <w:t>Coakley</w:t>
      </w:r>
      <w:proofErr w:type="spellEnd"/>
      <w:r w:rsidRPr="00A64765">
        <w:rPr>
          <w:sz w:val="22"/>
          <w:szCs w:val="22"/>
        </w:rPr>
        <w:t xml:space="preserve">, Field, </w:t>
      </w:r>
      <w:proofErr w:type="spellStart"/>
      <w:r w:rsidRPr="00A64765">
        <w:rPr>
          <w:sz w:val="22"/>
          <w:szCs w:val="22"/>
        </w:rPr>
        <w:t>Coldtiz</w:t>
      </w:r>
      <w:proofErr w:type="spellEnd"/>
      <w:r w:rsidRPr="00A64765">
        <w:rPr>
          <w:sz w:val="22"/>
          <w:szCs w:val="22"/>
        </w:rPr>
        <w:t xml:space="preserve">, &amp; Dietz, </w:t>
      </w:r>
    </w:p>
    <w:p w:rsidR="00A64765" w:rsidRDefault="00A64765" w:rsidP="00A64765">
      <w:pPr>
        <w:jc w:val="both"/>
        <w:rPr>
          <w:sz w:val="22"/>
          <w:szCs w:val="22"/>
        </w:rPr>
      </w:pPr>
      <w:proofErr w:type="gramStart"/>
      <w:r w:rsidRPr="00A64765">
        <w:rPr>
          <w:sz w:val="22"/>
          <w:szCs w:val="22"/>
        </w:rPr>
        <w:lastRenderedPageBreak/>
        <w:t>1999; Poirier et al., 2006).</w:t>
      </w:r>
      <w:proofErr w:type="gramEnd"/>
      <w:r w:rsidRPr="00A64765">
        <w:rPr>
          <w:sz w:val="22"/>
          <w:szCs w:val="22"/>
        </w:rPr>
        <w:t xml:space="preserve">  The available evidence suggests considerable ethnic/racial disparity in obesity rates in children with American Indian/Native Alaskans having the highest prevalence followed by Hispanic, Black non-Hispanic, White non-Hispanic, and Asians, and socioeconomic status has been shown to have an inverse relationship with obesity (Anderson &amp; Whitaker, 2009; Wang &amp; </w:t>
      </w:r>
      <w:proofErr w:type="spellStart"/>
      <w:r w:rsidRPr="00A64765">
        <w:rPr>
          <w:sz w:val="22"/>
          <w:szCs w:val="22"/>
        </w:rPr>
        <w:t>Beydoun</w:t>
      </w:r>
      <w:proofErr w:type="spellEnd"/>
      <w:r w:rsidRPr="00A64765">
        <w:rPr>
          <w:sz w:val="22"/>
          <w:szCs w:val="22"/>
        </w:rPr>
        <w:t>, 2007).</w:t>
      </w:r>
    </w:p>
    <w:p w:rsidR="00A64765" w:rsidRDefault="00A64765" w:rsidP="00A64765">
      <w:pPr>
        <w:jc w:val="both"/>
        <w:rPr>
          <w:sz w:val="22"/>
          <w:szCs w:val="22"/>
        </w:rPr>
      </w:pPr>
    </w:p>
    <w:p w:rsidR="00A64765" w:rsidRDefault="00A64765" w:rsidP="00A64765">
      <w:pPr>
        <w:jc w:val="both"/>
        <w:rPr>
          <w:sz w:val="22"/>
          <w:szCs w:val="22"/>
        </w:rPr>
      </w:pPr>
      <w:r w:rsidRPr="00A64765">
        <w:rPr>
          <w:sz w:val="22"/>
          <w:szCs w:val="22"/>
        </w:rPr>
        <w:t xml:space="preserve">With one in four 2-5 year olds in the United States being OW/OB the public health community has made it a priority to address this problem (Anderson &amp; Whitaker, 2009; Ogden &amp; Carroll, 2010).  Healthy People 2020 </w:t>
      </w:r>
      <w:proofErr w:type="gramStart"/>
      <w:r w:rsidRPr="00A64765">
        <w:rPr>
          <w:sz w:val="22"/>
          <w:szCs w:val="22"/>
        </w:rPr>
        <w:t>provides</w:t>
      </w:r>
      <w:proofErr w:type="gramEnd"/>
      <w:r w:rsidRPr="00A64765">
        <w:rPr>
          <w:sz w:val="22"/>
          <w:szCs w:val="22"/>
        </w:rPr>
        <w:t xml:space="preserve"> several objectives to decrease the proportion of children ages 2-5 that are OW/OB and a well-known effort to address the objectives in Healthy People 2020 to counter OW/OB in young children is Michelle Obama’s priority </w:t>
      </w:r>
    </w:p>
    <w:p w:rsidR="00A64765" w:rsidRPr="00A64765" w:rsidRDefault="00A64765" w:rsidP="00A64765">
      <w:pPr>
        <w:jc w:val="both"/>
        <w:rPr>
          <w:sz w:val="22"/>
          <w:szCs w:val="22"/>
        </w:rPr>
      </w:pPr>
      <w:proofErr w:type="gramStart"/>
      <w:r w:rsidRPr="00A64765">
        <w:rPr>
          <w:sz w:val="22"/>
          <w:szCs w:val="22"/>
        </w:rPr>
        <w:lastRenderedPageBreak/>
        <w:t>initiative</w:t>
      </w:r>
      <w:proofErr w:type="gramEnd"/>
      <w:r w:rsidRPr="00A64765">
        <w:rPr>
          <w:sz w:val="22"/>
          <w:szCs w:val="22"/>
        </w:rPr>
        <w:t xml:space="preserve"> called “Lets’ Move” (U.S. Department of Health &amp; Human Services Healthy People 2020, 2009; http://www.letsmove.gov)</w:t>
      </w:r>
      <w:r>
        <w:rPr>
          <w:sz w:val="22"/>
          <w:szCs w:val="22"/>
        </w:rPr>
        <w:t>.</w:t>
      </w:r>
    </w:p>
    <w:p w:rsidR="00A64765" w:rsidRDefault="00A64765" w:rsidP="00A64765">
      <w:pPr>
        <w:jc w:val="both"/>
        <w:rPr>
          <w:sz w:val="22"/>
          <w:szCs w:val="22"/>
        </w:rPr>
      </w:pPr>
    </w:p>
    <w:p w:rsidR="00A64765" w:rsidRDefault="00A64765" w:rsidP="00A64765">
      <w:pPr>
        <w:jc w:val="both"/>
        <w:rPr>
          <w:sz w:val="22"/>
          <w:szCs w:val="22"/>
        </w:rPr>
      </w:pPr>
      <w:r w:rsidRPr="00A64765">
        <w:rPr>
          <w:sz w:val="22"/>
          <w:szCs w:val="22"/>
        </w:rPr>
        <w:t>In 2004 the San Luis Obispo County Public Health Department division of Maternal, Adolescent and Child Health (MCAH) joined 38 other counties in California to include an objective in the MCAH work plan to reduce the percentage of children over the 85</w:t>
      </w:r>
      <w:r w:rsidRPr="00A64765">
        <w:rPr>
          <w:sz w:val="22"/>
          <w:szCs w:val="22"/>
          <w:vertAlign w:val="superscript"/>
        </w:rPr>
        <w:t>th</w:t>
      </w:r>
      <w:r w:rsidRPr="00A64765">
        <w:rPr>
          <w:sz w:val="22"/>
          <w:szCs w:val="22"/>
        </w:rPr>
        <w:t xml:space="preserve"> percentile for BMI for age by 5% by 2009.  It was decided to focus on children ages 3-5 so as to target the time period of accelerated growth that occurs between 4 and 5 years of age.  Due to limited available data on BMI in preschool aged children in San Luis Obispo (SLO) County, cross-sectional data were collected to determine the prevalence of OW/OB in this population.  In 2006, the prevalence of OW/OB preschool children in SLO County was consistent with the national rates and appeared to be rising in step with state and national trends (Tom, Rivera, </w:t>
      </w:r>
      <w:proofErr w:type="spellStart"/>
      <w:r w:rsidRPr="00A64765">
        <w:rPr>
          <w:sz w:val="22"/>
          <w:szCs w:val="22"/>
        </w:rPr>
        <w:t>Ravalin</w:t>
      </w:r>
      <w:proofErr w:type="spellEnd"/>
      <w:r w:rsidRPr="00A64765">
        <w:rPr>
          <w:sz w:val="22"/>
          <w:szCs w:val="22"/>
        </w:rPr>
        <w:t xml:space="preserve">, &amp; </w:t>
      </w:r>
      <w:proofErr w:type="spellStart"/>
      <w:r w:rsidRPr="00A64765">
        <w:rPr>
          <w:sz w:val="22"/>
          <w:szCs w:val="22"/>
        </w:rPr>
        <w:t>Jankovitz</w:t>
      </w:r>
      <w:proofErr w:type="spellEnd"/>
      <w:r w:rsidRPr="00A64765">
        <w:rPr>
          <w:sz w:val="22"/>
          <w:szCs w:val="22"/>
        </w:rPr>
        <w:t>, 2009)</w:t>
      </w:r>
      <w:r>
        <w:rPr>
          <w:sz w:val="22"/>
          <w:szCs w:val="22"/>
        </w:rPr>
        <w:t>.</w:t>
      </w:r>
    </w:p>
    <w:p w:rsidR="00A64765" w:rsidRPr="00A64765" w:rsidRDefault="00A64765" w:rsidP="00A64765">
      <w:pPr>
        <w:jc w:val="both"/>
        <w:rPr>
          <w:sz w:val="22"/>
          <w:szCs w:val="22"/>
        </w:rPr>
      </w:pPr>
    </w:p>
    <w:p w:rsidR="00A64765" w:rsidRPr="00A64765" w:rsidRDefault="00A64765" w:rsidP="00A64765">
      <w:pPr>
        <w:jc w:val="both"/>
        <w:rPr>
          <w:b/>
          <w:sz w:val="22"/>
          <w:szCs w:val="22"/>
        </w:rPr>
      </w:pPr>
      <w:r w:rsidRPr="00A64765">
        <w:rPr>
          <w:b/>
          <w:sz w:val="22"/>
          <w:szCs w:val="22"/>
        </w:rPr>
        <w:t>Purpose</w:t>
      </w:r>
    </w:p>
    <w:p w:rsidR="00A64765" w:rsidRDefault="00A64765" w:rsidP="00A64765">
      <w:pPr>
        <w:jc w:val="both"/>
        <w:rPr>
          <w:sz w:val="22"/>
          <w:szCs w:val="22"/>
        </w:rPr>
      </w:pPr>
      <w:r w:rsidRPr="00A64765">
        <w:rPr>
          <w:sz w:val="22"/>
          <w:szCs w:val="22"/>
        </w:rPr>
        <w:t>The prevalence of OW/OB in preschool children aged 3-5 years in SLO County was assessed in 2006, 2009 and 2010.  The purpose of the study was to determine the rate of OW/OB in preschool children in SLO County for each year and to identify if differences in weight status existed based on calendar year, gender, ethnicity, and type of preschool (public or private).</w:t>
      </w:r>
    </w:p>
    <w:p w:rsidR="00A64765" w:rsidRPr="00A64765" w:rsidRDefault="00A64765" w:rsidP="00A64765">
      <w:pPr>
        <w:jc w:val="both"/>
        <w:rPr>
          <w:sz w:val="22"/>
          <w:szCs w:val="22"/>
        </w:rPr>
      </w:pPr>
    </w:p>
    <w:p w:rsidR="00A64765" w:rsidRPr="00A64765" w:rsidRDefault="00A64765" w:rsidP="00A64765">
      <w:pPr>
        <w:jc w:val="center"/>
        <w:rPr>
          <w:b/>
          <w:sz w:val="22"/>
          <w:szCs w:val="22"/>
        </w:rPr>
      </w:pPr>
      <w:r w:rsidRPr="00A64765">
        <w:rPr>
          <w:b/>
          <w:sz w:val="22"/>
          <w:szCs w:val="22"/>
        </w:rPr>
        <w:t>Methods</w:t>
      </w:r>
    </w:p>
    <w:p w:rsidR="00A64765" w:rsidRDefault="00A64765" w:rsidP="00A64765">
      <w:pPr>
        <w:jc w:val="both"/>
        <w:rPr>
          <w:sz w:val="22"/>
          <w:szCs w:val="22"/>
        </w:rPr>
      </w:pPr>
    </w:p>
    <w:p w:rsidR="00A64765" w:rsidRPr="00A64765" w:rsidRDefault="00A64765" w:rsidP="00A64765">
      <w:pPr>
        <w:jc w:val="both"/>
        <w:rPr>
          <w:sz w:val="22"/>
          <w:szCs w:val="22"/>
        </w:rPr>
      </w:pPr>
      <w:r w:rsidRPr="00A64765">
        <w:rPr>
          <w:sz w:val="22"/>
          <w:szCs w:val="22"/>
        </w:rPr>
        <w:t>Each year the study included a cross-sectional convenience sample of private, California State, and Head Start preschools.  Head Start preschools are federally funded programs for low-income families with an income eligibility of 130% or below of the federal poverty level (http://caheadstart.org/HSPrograms.html)</w:t>
      </w:r>
      <w:r>
        <w:rPr>
          <w:sz w:val="22"/>
          <w:szCs w:val="22"/>
        </w:rPr>
        <w:t xml:space="preserve">. </w:t>
      </w:r>
      <w:r w:rsidRPr="00A64765">
        <w:rPr>
          <w:sz w:val="22"/>
          <w:szCs w:val="22"/>
        </w:rPr>
        <w:t>California State preschools are state funded programs for families with incomes at or below 75% of the state median income (http://www.first5slo.org)</w:t>
      </w:r>
      <w:r>
        <w:rPr>
          <w:sz w:val="22"/>
          <w:szCs w:val="22"/>
        </w:rPr>
        <w:t xml:space="preserve">. </w:t>
      </w:r>
      <w:r w:rsidRPr="00A64765">
        <w:rPr>
          <w:sz w:val="22"/>
          <w:szCs w:val="22"/>
        </w:rPr>
        <w:t xml:space="preserve">Private preschools are funded through tuition or fees and receive no direct federal or state funding, however some students may have partial funding for preschool </w:t>
      </w:r>
      <w:r w:rsidRPr="00A64765">
        <w:rPr>
          <w:sz w:val="22"/>
          <w:szCs w:val="22"/>
        </w:rPr>
        <w:lastRenderedPageBreak/>
        <w:t>through state childcare subsidies.  In 2008 there were 65 licensed preschool centers in the county seven of which were Head Start and twelve were California State preschools (http://www.first5slo.org). In 2006 and 2009/10 combined almost 57% of preschools (n = 37) participated in the study, including all Head Start and California State preschools.  All preschools were invited to participate by the SLO County Public Health Department.  Preschool directors chose to inform parents about the opportunity for their child to participate in the study by distributing copies of a letter from the Public Health Department, by providing information in the school newsletter, or through verbal requests from preschool staff members.  Parents were provided an informed consent form requesting permission to measure their child’s height and weight, and to obtain the child’s age (in 2006) or date of birth (in 2009 and 2010) from the preschool teacher for the purpose of calculating body mass index.  All forms of communication were provided in English and Spanish.</w:t>
      </w:r>
    </w:p>
    <w:p w:rsidR="00A64765" w:rsidRDefault="00A64765" w:rsidP="00A64765">
      <w:pPr>
        <w:jc w:val="both"/>
        <w:rPr>
          <w:sz w:val="22"/>
          <w:szCs w:val="22"/>
          <w:u w:val="single"/>
        </w:rPr>
      </w:pPr>
    </w:p>
    <w:p w:rsidR="00A64765" w:rsidRPr="00A64765" w:rsidRDefault="00A64765" w:rsidP="00A64765">
      <w:pPr>
        <w:jc w:val="both"/>
        <w:rPr>
          <w:b/>
          <w:sz w:val="22"/>
          <w:szCs w:val="22"/>
        </w:rPr>
      </w:pPr>
      <w:r w:rsidRPr="00A64765">
        <w:rPr>
          <w:b/>
          <w:sz w:val="22"/>
          <w:szCs w:val="22"/>
        </w:rPr>
        <w:t>Participants</w:t>
      </w:r>
    </w:p>
    <w:p w:rsidR="00A64765" w:rsidRPr="00A64765" w:rsidRDefault="00A64765" w:rsidP="00A64765">
      <w:pPr>
        <w:jc w:val="both"/>
        <w:rPr>
          <w:sz w:val="22"/>
          <w:szCs w:val="22"/>
        </w:rPr>
      </w:pPr>
      <w:r w:rsidRPr="00A64765">
        <w:rPr>
          <w:sz w:val="22"/>
          <w:szCs w:val="22"/>
        </w:rPr>
        <w:t xml:space="preserve">The population of SLO County (n ≈ 262,000) is approximately 70% white, 19% Hispanic, 3% Asian/Pacific Islander, 2% African American, and 1% Native American and the remaining 5% others (http://www.first5slo.org ).  The 2005-2009 American Community Survey reported there were 4004 children enrolled in preschool in SLO County (U.S. Census Bureau, 2005-2009 American Community Survey). In 2006 and 2009/10 combined, approximately 25% of preschool children (n = 1041) in SLO County participated in the study.  Participants were boys and girls, aged 3-5 years, attending preschool in SLO County in April and May of 2006, 2009 and 2010.  Each year preschool sites that volunteered to participate were included if a date and time could be arranged for the physical assessments and if the preschool teacher(s) could provide the age (in 2006) or date of birth (in 2009 and 2010) for each child and information about race/ethnicity.  Participants were identified as Hispanic if they had a Hispanic surname, if Spanish was spoken in the home or if Spanish was the primary language of at least one parent.  Preschool children were </w:t>
      </w:r>
      <w:r w:rsidRPr="00A64765">
        <w:rPr>
          <w:sz w:val="22"/>
          <w:szCs w:val="22"/>
        </w:rPr>
        <w:lastRenderedPageBreak/>
        <w:t>included in the study if they had consent from a parent or guardian, attended preschool on the day of data collection, and only if they wanted to participate at the time the measures were being collected.  Informed consent, provided in both English and Spanish, was obtained from the parents or guardians of the participating preschool children, and the California Polytechnic State University, San Luis Obispo Institutional Review Board approved the study</w:t>
      </w:r>
      <w:r>
        <w:rPr>
          <w:sz w:val="22"/>
          <w:szCs w:val="22"/>
        </w:rPr>
        <w:t>.</w:t>
      </w:r>
    </w:p>
    <w:p w:rsidR="00A64765" w:rsidRDefault="00A64765" w:rsidP="00A64765">
      <w:pPr>
        <w:jc w:val="both"/>
        <w:rPr>
          <w:sz w:val="22"/>
          <w:szCs w:val="22"/>
          <w:u w:val="single"/>
        </w:rPr>
      </w:pPr>
    </w:p>
    <w:p w:rsidR="00A64765" w:rsidRPr="00A64765" w:rsidRDefault="00A64765" w:rsidP="00A64765">
      <w:pPr>
        <w:jc w:val="both"/>
        <w:rPr>
          <w:b/>
          <w:sz w:val="22"/>
          <w:szCs w:val="22"/>
        </w:rPr>
      </w:pPr>
      <w:r w:rsidRPr="00A64765">
        <w:rPr>
          <w:b/>
          <w:sz w:val="22"/>
          <w:szCs w:val="22"/>
        </w:rPr>
        <w:t>Measures</w:t>
      </w:r>
    </w:p>
    <w:p w:rsidR="00A64765" w:rsidRPr="00A64765" w:rsidRDefault="00A64765" w:rsidP="00A64765">
      <w:pPr>
        <w:jc w:val="both"/>
        <w:rPr>
          <w:sz w:val="22"/>
          <w:szCs w:val="22"/>
        </w:rPr>
      </w:pPr>
      <w:r w:rsidRPr="00A64765">
        <w:rPr>
          <w:sz w:val="22"/>
          <w:szCs w:val="22"/>
        </w:rPr>
        <w:t>In 2006, a registered dietician with the public health department and two trained graduate and undergraduate research assistants proficient in the use of standardized measurement protocols collected measures for height and weight.  In 2009 and 2010, undergraduate and graduate research assistants proficient in standardized measurement protocols for height and weight in children collected measures.  All research assistants in 2009 and 2010 completed Protection of Human Research Participants Certification from the National Institutes of Health</w:t>
      </w:r>
      <w:r>
        <w:rPr>
          <w:sz w:val="22"/>
          <w:szCs w:val="22"/>
        </w:rPr>
        <w:t>.</w:t>
      </w:r>
    </w:p>
    <w:p w:rsidR="00A64765" w:rsidRDefault="00A64765" w:rsidP="00A64765">
      <w:pPr>
        <w:jc w:val="both"/>
        <w:rPr>
          <w:b/>
          <w:sz w:val="22"/>
          <w:szCs w:val="22"/>
        </w:rPr>
      </w:pPr>
    </w:p>
    <w:p w:rsidR="00A64765" w:rsidRPr="00A64765" w:rsidRDefault="00A64765" w:rsidP="00A64765">
      <w:pPr>
        <w:jc w:val="both"/>
        <w:rPr>
          <w:sz w:val="22"/>
          <w:szCs w:val="22"/>
        </w:rPr>
      </w:pPr>
      <w:r w:rsidRPr="00A64765">
        <w:rPr>
          <w:b/>
          <w:sz w:val="22"/>
          <w:szCs w:val="22"/>
        </w:rPr>
        <w:t>Height</w:t>
      </w:r>
      <w:r>
        <w:rPr>
          <w:sz w:val="22"/>
          <w:szCs w:val="22"/>
        </w:rPr>
        <w:t xml:space="preserve">. </w:t>
      </w:r>
      <w:r w:rsidRPr="00A64765">
        <w:rPr>
          <w:sz w:val="22"/>
          <w:szCs w:val="22"/>
        </w:rPr>
        <w:t xml:space="preserve">Height without shoes was measured by a portable </w:t>
      </w:r>
      <w:proofErr w:type="spellStart"/>
      <w:r w:rsidRPr="00A64765">
        <w:rPr>
          <w:sz w:val="22"/>
          <w:szCs w:val="22"/>
        </w:rPr>
        <w:t>stadiometer</w:t>
      </w:r>
      <w:proofErr w:type="spellEnd"/>
      <w:r w:rsidRPr="00A64765">
        <w:rPr>
          <w:sz w:val="22"/>
          <w:szCs w:val="22"/>
        </w:rPr>
        <w:t xml:space="preserve">.  The </w:t>
      </w:r>
      <w:proofErr w:type="spellStart"/>
      <w:r w:rsidRPr="00A64765">
        <w:rPr>
          <w:sz w:val="22"/>
          <w:szCs w:val="22"/>
        </w:rPr>
        <w:t>stadiometer</w:t>
      </w:r>
      <w:proofErr w:type="spellEnd"/>
      <w:r w:rsidRPr="00A64765">
        <w:rPr>
          <w:sz w:val="22"/>
          <w:szCs w:val="22"/>
        </w:rPr>
        <w:t xml:space="preserve"> was calibrated with a measuring tape starting at the zero point.  Children were asked and assisted to remove any hats or hair accessories that could alter height measurement and were directed to stand with their back to the </w:t>
      </w:r>
      <w:proofErr w:type="spellStart"/>
      <w:r w:rsidRPr="00A64765">
        <w:rPr>
          <w:sz w:val="22"/>
          <w:szCs w:val="22"/>
        </w:rPr>
        <w:t>stadiometer</w:t>
      </w:r>
      <w:proofErr w:type="spellEnd"/>
      <w:r w:rsidRPr="00A64765">
        <w:rPr>
          <w:sz w:val="22"/>
          <w:szCs w:val="22"/>
        </w:rPr>
        <w:t xml:space="preserve">, stepping as close as possible without touching it.  As the child stood tall with feet together and arms by his or her side the headpiece of the </w:t>
      </w:r>
      <w:proofErr w:type="spellStart"/>
      <w:r w:rsidRPr="00A64765">
        <w:rPr>
          <w:sz w:val="22"/>
          <w:szCs w:val="22"/>
        </w:rPr>
        <w:t>stadiometer</w:t>
      </w:r>
      <w:proofErr w:type="spellEnd"/>
      <w:r w:rsidRPr="00A64765">
        <w:rPr>
          <w:sz w:val="22"/>
          <w:szCs w:val="22"/>
        </w:rPr>
        <w:t xml:space="preserve"> was moved to the crown of his or her head.  Each child was measured three times to the nearest 0.1 cm and all measures were recorded.  The two closest measurements within 0.3 cm were averaged during the data entry process.  If there were no two measurements that were within 0.3 cm, all three measurements were averaged.</w:t>
      </w:r>
    </w:p>
    <w:p w:rsidR="00A64765" w:rsidRDefault="00A64765" w:rsidP="00A64765">
      <w:pPr>
        <w:jc w:val="both"/>
        <w:rPr>
          <w:b/>
          <w:sz w:val="22"/>
          <w:szCs w:val="22"/>
        </w:rPr>
      </w:pPr>
    </w:p>
    <w:p w:rsidR="00A64765" w:rsidRPr="00A64765" w:rsidDel="00214B9D" w:rsidRDefault="00A64765" w:rsidP="00A64765">
      <w:pPr>
        <w:jc w:val="both"/>
        <w:rPr>
          <w:sz w:val="22"/>
          <w:szCs w:val="22"/>
        </w:rPr>
      </w:pPr>
      <w:r w:rsidRPr="00A64765">
        <w:rPr>
          <w:b/>
          <w:sz w:val="22"/>
          <w:szCs w:val="22"/>
        </w:rPr>
        <w:t xml:space="preserve">Weight. </w:t>
      </w:r>
      <w:r w:rsidRPr="00A64765">
        <w:rPr>
          <w:sz w:val="22"/>
          <w:szCs w:val="22"/>
        </w:rPr>
        <w:t xml:space="preserve">Children were asked and assisted to remove shoes, jackets or sweatshirts prior to being weighed.  A digital scale measured weight to the nearest 0.1 kg.  The digital scales were calibrated at each site with a 5 lbs. weight.  Digital scales were zeroed after every </w:t>
      </w:r>
      <w:r w:rsidRPr="00A64765">
        <w:rPr>
          <w:sz w:val="22"/>
          <w:szCs w:val="22"/>
        </w:rPr>
        <w:lastRenderedPageBreak/>
        <w:t>measurement.  Three measurements were taken and recorded by the research assistants.  The two closest measurements within 0.1 kg were averaged during the data entry process.  If there were no two measurements within 0.1 kg, all three measurements were averaged</w:t>
      </w:r>
      <w:r>
        <w:rPr>
          <w:sz w:val="22"/>
          <w:szCs w:val="22"/>
        </w:rPr>
        <w:t>.</w:t>
      </w:r>
    </w:p>
    <w:p w:rsidR="00A64765" w:rsidRDefault="00A64765" w:rsidP="00A64765">
      <w:pPr>
        <w:jc w:val="both"/>
        <w:rPr>
          <w:sz w:val="22"/>
          <w:szCs w:val="22"/>
          <w:u w:val="single"/>
        </w:rPr>
      </w:pPr>
    </w:p>
    <w:p w:rsidR="00A64765" w:rsidRPr="00A64765" w:rsidRDefault="00A64765" w:rsidP="00A64765">
      <w:pPr>
        <w:jc w:val="both"/>
        <w:rPr>
          <w:b/>
          <w:sz w:val="22"/>
          <w:szCs w:val="22"/>
        </w:rPr>
      </w:pPr>
      <w:r w:rsidRPr="00A64765">
        <w:rPr>
          <w:b/>
          <w:sz w:val="22"/>
          <w:szCs w:val="22"/>
        </w:rPr>
        <w:t>Weight Classification</w:t>
      </w:r>
    </w:p>
    <w:p w:rsidR="00A64765" w:rsidRPr="00A64765" w:rsidRDefault="00A64765" w:rsidP="00A64765">
      <w:pPr>
        <w:jc w:val="both"/>
        <w:rPr>
          <w:sz w:val="22"/>
          <w:szCs w:val="22"/>
        </w:rPr>
      </w:pPr>
      <w:r w:rsidRPr="00A64765">
        <w:rPr>
          <w:sz w:val="22"/>
          <w:szCs w:val="22"/>
        </w:rPr>
        <w:t>Weight classification was stratified into percentiles by sex using the 2000 Centers for Disease Control and Prevention BMI-for-age growth charts for children 2-20 years.  BMI is a ratio between height and weight and is calculated by dividing weight in kg by height</w:t>
      </w:r>
      <w:r w:rsidRPr="00A64765">
        <w:rPr>
          <w:sz w:val="22"/>
          <w:szCs w:val="22"/>
          <w:vertAlign w:val="superscript"/>
        </w:rPr>
        <w:t>2</w:t>
      </w:r>
      <w:r w:rsidRPr="00A64765">
        <w:rPr>
          <w:sz w:val="22"/>
          <w:szCs w:val="22"/>
        </w:rPr>
        <w:t xml:space="preserve"> in m</w:t>
      </w:r>
      <w:r w:rsidRPr="00A64765">
        <w:rPr>
          <w:sz w:val="22"/>
          <w:szCs w:val="22"/>
          <w:vertAlign w:val="superscript"/>
        </w:rPr>
        <w:t>2</w:t>
      </w:r>
      <w:r w:rsidRPr="00A64765">
        <w:rPr>
          <w:sz w:val="22"/>
          <w:szCs w:val="22"/>
        </w:rPr>
        <w:t xml:space="preserve"> (BMI = kg/m</w:t>
      </w:r>
      <w:r w:rsidRPr="00A64765">
        <w:rPr>
          <w:sz w:val="22"/>
          <w:szCs w:val="22"/>
          <w:vertAlign w:val="superscript"/>
        </w:rPr>
        <w:t>2</w:t>
      </w:r>
      <w:r w:rsidRPr="00A64765">
        <w:rPr>
          <w:sz w:val="22"/>
          <w:szCs w:val="22"/>
        </w:rPr>
        <w:t>).  Underweight was classified as &lt; 5</w:t>
      </w:r>
      <w:r w:rsidRPr="00A64765">
        <w:rPr>
          <w:sz w:val="22"/>
          <w:szCs w:val="22"/>
          <w:vertAlign w:val="superscript"/>
        </w:rPr>
        <w:t>th</w:t>
      </w:r>
      <w:r w:rsidRPr="00A64765">
        <w:rPr>
          <w:sz w:val="22"/>
          <w:szCs w:val="22"/>
        </w:rPr>
        <w:t xml:space="preserve"> percentile.  Normal weight was classified as ≥ 5</w:t>
      </w:r>
      <w:r w:rsidRPr="00A64765">
        <w:rPr>
          <w:sz w:val="22"/>
          <w:szCs w:val="22"/>
          <w:vertAlign w:val="superscript"/>
        </w:rPr>
        <w:t>th</w:t>
      </w:r>
      <w:r w:rsidRPr="00A64765">
        <w:rPr>
          <w:sz w:val="22"/>
          <w:szCs w:val="22"/>
        </w:rPr>
        <w:t xml:space="preserve"> – 84.9</w:t>
      </w:r>
      <w:r w:rsidRPr="00A64765">
        <w:rPr>
          <w:sz w:val="22"/>
          <w:szCs w:val="22"/>
          <w:vertAlign w:val="superscript"/>
        </w:rPr>
        <w:t>th</w:t>
      </w:r>
      <w:r w:rsidRPr="00A64765">
        <w:rPr>
          <w:sz w:val="22"/>
          <w:szCs w:val="22"/>
        </w:rPr>
        <w:t xml:space="preserve"> percentile.  Overweight was classified as ≥ 85</w:t>
      </w:r>
      <w:r w:rsidRPr="00A64765">
        <w:rPr>
          <w:sz w:val="22"/>
          <w:szCs w:val="22"/>
          <w:vertAlign w:val="superscript"/>
        </w:rPr>
        <w:t>th</w:t>
      </w:r>
      <w:r w:rsidRPr="00A64765">
        <w:rPr>
          <w:sz w:val="22"/>
          <w:szCs w:val="22"/>
        </w:rPr>
        <w:t xml:space="preserve"> - 94.9</w:t>
      </w:r>
      <w:r w:rsidRPr="00A64765">
        <w:rPr>
          <w:sz w:val="22"/>
          <w:szCs w:val="22"/>
          <w:vertAlign w:val="superscript"/>
        </w:rPr>
        <w:t>th</w:t>
      </w:r>
      <w:r w:rsidRPr="00A64765">
        <w:rPr>
          <w:sz w:val="22"/>
          <w:szCs w:val="22"/>
        </w:rPr>
        <w:t xml:space="preserve"> percentile and obese was classified as ≥ 95</w:t>
      </w:r>
      <w:r w:rsidRPr="00A64765">
        <w:rPr>
          <w:sz w:val="22"/>
          <w:szCs w:val="22"/>
          <w:vertAlign w:val="superscript"/>
        </w:rPr>
        <w:t>th</w:t>
      </w:r>
      <w:r w:rsidRPr="00A64765">
        <w:rPr>
          <w:sz w:val="22"/>
          <w:szCs w:val="22"/>
        </w:rPr>
        <w:t xml:space="preserve"> percentile</w:t>
      </w:r>
      <w:r>
        <w:rPr>
          <w:sz w:val="22"/>
          <w:szCs w:val="22"/>
        </w:rPr>
        <w:t>.</w:t>
      </w:r>
    </w:p>
    <w:p w:rsidR="00A64765" w:rsidRDefault="00A64765" w:rsidP="00A64765">
      <w:pPr>
        <w:jc w:val="both"/>
        <w:rPr>
          <w:b/>
          <w:sz w:val="22"/>
          <w:szCs w:val="22"/>
        </w:rPr>
      </w:pPr>
    </w:p>
    <w:p w:rsidR="00A64765" w:rsidRPr="00A64765" w:rsidRDefault="00A64765" w:rsidP="00A64765">
      <w:pPr>
        <w:jc w:val="both"/>
        <w:rPr>
          <w:b/>
          <w:sz w:val="22"/>
          <w:szCs w:val="22"/>
        </w:rPr>
      </w:pPr>
      <w:r w:rsidRPr="00A64765">
        <w:rPr>
          <w:b/>
          <w:sz w:val="22"/>
          <w:szCs w:val="22"/>
        </w:rPr>
        <w:t>Analysis</w:t>
      </w:r>
    </w:p>
    <w:p w:rsidR="00B125E2" w:rsidRDefault="00A64765" w:rsidP="00A64765">
      <w:pPr>
        <w:contextualSpacing/>
        <w:jc w:val="both"/>
        <w:rPr>
          <w:sz w:val="22"/>
          <w:szCs w:val="22"/>
        </w:rPr>
        <w:sectPr w:rsidR="00B125E2" w:rsidSect="00A64765">
          <w:type w:val="continuous"/>
          <w:pgSz w:w="12240" w:h="15840"/>
          <w:pgMar w:top="1440" w:right="1440" w:bottom="1440" w:left="1440" w:header="720" w:footer="720" w:gutter="0"/>
          <w:cols w:num="2" w:space="720"/>
          <w:docGrid w:linePitch="360"/>
        </w:sectPr>
      </w:pPr>
      <w:r w:rsidRPr="00A64765">
        <w:rPr>
          <w:sz w:val="22"/>
          <w:szCs w:val="22"/>
        </w:rPr>
        <w:t xml:space="preserve">All analyses were carried out using SAS/STAT software, Version [9.2] </w:t>
      </w:r>
      <w:r>
        <w:rPr>
          <w:sz w:val="22"/>
          <w:szCs w:val="22"/>
        </w:rPr>
        <w:t xml:space="preserve">of the SAS System for Windows. </w:t>
      </w:r>
      <w:r w:rsidRPr="00A64765">
        <w:rPr>
          <w:sz w:val="22"/>
          <w:szCs w:val="22"/>
        </w:rPr>
        <w:t>To eliminate the chance that data from the same child measured in 2009 and 2010 was included twice, only the data recorded for the 5-year-old children in 2009 was combined with the data from 3, 4, and 5-year-old children in 2010 forming the 2009/10 group.  Only the data for Hispanic and Caucasian children were included in the analyses as the number of participants of all other ethnicity/race (n = 56) for all years combined provided an insufficient sample size for analysis. Descriptive statistics were used to summarize the prevalence of overweight and obese for gender, ethnicity, and type of preschool by year. A stepwise logistic regression analysis was used to investigate BMI classification, where BMI categories of overweight (BMI ≥ 85</w:t>
      </w:r>
      <w:r w:rsidRPr="00A64765">
        <w:rPr>
          <w:sz w:val="22"/>
          <w:szCs w:val="22"/>
          <w:vertAlign w:val="superscript"/>
        </w:rPr>
        <w:t>th</w:t>
      </w:r>
      <w:r w:rsidRPr="00A64765">
        <w:rPr>
          <w:sz w:val="22"/>
          <w:szCs w:val="22"/>
        </w:rPr>
        <w:t xml:space="preserve"> - 94.9</w:t>
      </w:r>
      <w:r w:rsidRPr="00A64765">
        <w:rPr>
          <w:sz w:val="22"/>
          <w:szCs w:val="22"/>
          <w:vertAlign w:val="superscript"/>
        </w:rPr>
        <w:t>th</w:t>
      </w:r>
      <w:r w:rsidRPr="00A64765">
        <w:rPr>
          <w:sz w:val="22"/>
          <w:szCs w:val="22"/>
        </w:rPr>
        <w:t xml:space="preserve"> percentile) and obese (BMI ≥ 95</w:t>
      </w:r>
      <w:r w:rsidRPr="00A64765">
        <w:rPr>
          <w:sz w:val="22"/>
          <w:szCs w:val="22"/>
          <w:vertAlign w:val="superscript"/>
        </w:rPr>
        <w:t>th</w:t>
      </w:r>
      <w:r w:rsidRPr="00A64765">
        <w:rPr>
          <w:sz w:val="22"/>
          <w:szCs w:val="22"/>
        </w:rPr>
        <w:t xml:space="preserve"> percentile)</w:t>
      </w:r>
      <w:r>
        <w:rPr>
          <w:sz w:val="22"/>
          <w:szCs w:val="22"/>
        </w:rPr>
        <w:t xml:space="preserve"> were collapsed into one group.</w:t>
      </w:r>
      <w:r w:rsidRPr="00A64765">
        <w:rPr>
          <w:sz w:val="22"/>
          <w:szCs w:val="22"/>
        </w:rPr>
        <w:t xml:space="preserve"> All covariates (gender, ethnicity, type of preschool), including year, and all two-way interactions were en</w:t>
      </w:r>
      <w:r w:rsidR="0076014E">
        <w:rPr>
          <w:sz w:val="22"/>
          <w:szCs w:val="22"/>
        </w:rPr>
        <w:t xml:space="preserve">tered into the starting model. </w:t>
      </w:r>
      <w:r w:rsidRPr="00A64765">
        <w:rPr>
          <w:sz w:val="22"/>
          <w:szCs w:val="22"/>
        </w:rPr>
        <w:t xml:space="preserve">Logistic regression analysis was then used to further investigate two dependent variables: (1) overweight versus normal, and (2) obese versus overweight/normal. For each of these dependent variables, a separate logistic model was fit for each covariate (gender, </w:t>
      </w:r>
    </w:p>
    <w:p w:rsidR="00B125E2" w:rsidRPr="00E22970" w:rsidRDefault="00B125E2" w:rsidP="00B125E2">
      <w:pPr>
        <w:pStyle w:val="Caption"/>
        <w:keepNext/>
        <w:jc w:val="center"/>
        <w:rPr>
          <w:rFonts w:ascii="Times New Roman" w:hAnsi="Times New Roman"/>
          <w:color w:val="auto"/>
        </w:rPr>
      </w:pPr>
      <w:r w:rsidRPr="00E22970">
        <w:rPr>
          <w:rFonts w:ascii="Times New Roman" w:hAnsi="Times New Roman"/>
          <w:color w:val="auto"/>
        </w:rPr>
        <w:lastRenderedPageBreak/>
        <w:t>Table 1</w:t>
      </w:r>
    </w:p>
    <w:p w:rsidR="00B125E2" w:rsidRPr="00E22970" w:rsidRDefault="00B125E2" w:rsidP="00B125E2">
      <w:pPr>
        <w:pStyle w:val="Caption"/>
        <w:keepNext/>
        <w:spacing w:after="0"/>
        <w:ind w:left="540"/>
        <w:rPr>
          <w:rFonts w:ascii="Times New Roman" w:hAnsi="Times New Roman"/>
          <w:b w:val="0"/>
          <w:color w:val="auto"/>
        </w:rPr>
      </w:pPr>
      <w:r w:rsidRPr="00E22970">
        <w:rPr>
          <w:rFonts w:ascii="Times New Roman" w:hAnsi="Times New Roman"/>
          <w:b w:val="0"/>
          <w:color w:val="auto"/>
        </w:rPr>
        <w:t>Demographic Characteristics and Logistic Model Results for Overweight vs. Normal Weight, and Obese vs. Overweight/Normal Weight.</w:t>
      </w:r>
    </w:p>
    <w:tbl>
      <w:tblPr>
        <w:tblStyle w:val="TableGrid"/>
        <w:tblW w:w="8267" w:type="dxa"/>
        <w:jc w:val="center"/>
        <w:tblLayout w:type="fixed"/>
        <w:tblLook w:val="04A0" w:firstRow="1" w:lastRow="0" w:firstColumn="1" w:lastColumn="0" w:noHBand="0" w:noVBand="1"/>
      </w:tblPr>
      <w:tblGrid>
        <w:gridCol w:w="1283"/>
        <w:gridCol w:w="1012"/>
        <w:gridCol w:w="1078"/>
        <w:gridCol w:w="1467"/>
        <w:gridCol w:w="1153"/>
        <w:gridCol w:w="1274"/>
        <w:gridCol w:w="1000"/>
      </w:tblGrid>
      <w:tr w:rsidR="00B125E2" w:rsidRPr="00B125E2" w:rsidTr="00240F53">
        <w:trPr>
          <w:trHeight w:val="422"/>
          <w:jc w:val="center"/>
        </w:trPr>
        <w:tc>
          <w:tcPr>
            <w:tcW w:w="1283" w:type="dxa"/>
            <w:tcBorders>
              <w:left w:val="nil"/>
              <w:bottom w:val="single" w:sz="4" w:space="0" w:color="auto"/>
              <w:right w:val="nil"/>
            </w:tcBorders>
            <w:vAlign w:val="center"/>
          </w:tcPr>
          <w:p w:rsidR="00B125E2" w:rsidRPr="00E22970" w:rsidRDefault="00B125E2" w:rsidP="00675F9D">
            <w:pPr>
              <w:rPr>
                <w:b/>
                <w:sz w:val="18"/>
                <w:szCs w:val="18"/>
              </w:rPr>
            </w:pPr>
            <w:r w:rsidRPr="00E22970">
              <w:rPr>
                <w:sz w:val="18"/>
                <w:szCs w:val="18"/>
              </w:rPr>
              <w:t>(n = 1041)</w:t>
            </w:r>
          </w:p>
        </w:tc>
        <w:tc>
          <w:tcPr>
            <w:tcW w:w="1012" w:type="dxa"/>
            <w:tcBorders>
              <w:left w:val="nil"/>
              <w:bottom w:val="single" w:sz="4" w:space="0" w:color="auto"/>
              <w:right w:val="nil"/>
            </w:tcBorders>
          </w:tcPr>
          <w:p w:rsidR="00B125E2" w:rsidRPr="00E22970" w:rsidRDefault="00B125E2" w:rsidP="00675F9D">
            <w:pPr>
              <w:rPr>
                <w:b/>
                <w:sz w:val="18"/>
                <w:szCs w:val="18"/>
              </w:rPr>
            </w:pPr>
          </w:p>
        </w:tc>
        <w:tc>
          <w:tcPr>
            <w:tcW w:w="1078" w:type="dxa"/>
            <w:tcBorders>
              <w:left w:val="nil"/>
              <w:bottom w:val="single" w:sz="4" w:space="0" w:color="auto"/>
              <w:right w:val="nil"/>
            </w:tcBorders>
          </w:tcPr>
          <w:p w:rsidR="00B125E2" w:rsidRPr="00E22970" w:rsidRDefault="00B125E2" w:rsidP="00675F9D">
            <w:pPr>
              <w:jc w:val="center"/>
              <w:rPr>
                <w:b/>
                <w:sz w:val="18"/>
                <w:szCs w:val="18"/>
              </w:rPr>
            </w:pPr>
          </w:p>
        </w:tc>
        <w:tc>
          <w:tcPr>
            <w:tcW w:w="1467" w:type="dxa"/>
            <w:tcBorders>
              <w:left w:val="nil"/>
              <w:bottom w:val="single" w:sz="4" w:space="0" w:color="auto"/>
              <w:right w:val="nil"/>
            </w:tcBorders>
          </w:tcPr>
          <w:p w:rsidR="00B125E2" w:rsidRPr="00B125E2" w:rsidRDefault="00B125E2" w:rsidP="00675F9D">
            <w:pPr>
              <w:contextualSpacing/>
              <w:jc w:val="center"/>
              <w:rPr>
                <w:sz w:val="18"/>
                <w:szCs w:val="18"/>
              </w:rPr>
            </w:pPr>
            <w:r w:rsidRPr="00B125E2">
              <w:rPr>
                <w:sz w:val="18"/>
                <w:szCs w:val="18"/>
              </w:rPr>
              <w:t>Overweight</w:t>
            </w:r>
          </w:p>
          <w:p w:rsidR="00B125E2" w:rsidRPr="00B125E2" w:rsidRDefault="00B125E2" w:rsidP="00675F9D">
            <w:pPr>
              <w:contextualSpacing/>
              <w:jc w:val="center"/>
              <w:rPr>
                <w:sz w:val="18"/>
                <w:szCs w:val="18"/>
              </w:rPr>
            </w:pPr>
            <w:proofErr w:type="gramStart"/>
            <w:r w:rsidRPr="00B125E2">
              <w:rPr>
                <w:sz w:val="18"/>
                <w:szCs w:val="18"/>
              </w:rPr>
              <w:t>n</w:t>
            </w:r>
            <w:proofErr w:type="gramEnd"/>
            <w:r w:rsidRPr="00B125E2">
              <w:rPr>
                <w:sz w:val="18"/>
                <w:szCs w:val="18"/>
              </w:rPr>
              <w:t xml:space="preserve"> (%)</w:t>
            </w:r>
          </w:p>
        </w:tc>
        <w:tc>
          <w:tcPr>
            <w:tcW w:w="1153" w:type="dxa"/>
            <w:tcBorders>
              <w:left w:val="nil"/>
              <w:bottom w:val="single" w:sz="4" w:space="0" w:color="auto"/>
              <w:right w:val="nil"/>
            </w:tcBorders>
          </w:tcPr>
          <w:p w:rsidR="00B125E2" w:rsidRPr="00B125E2" w:rsidRDefault="00B125E2" w:rsidP="00675F9D">
            <w:pPr>
              <w:contextualSpacing/>
              <w:jc w:val="center"/>
              <w:rPr>
                <w:sz w:val="18"/>
                <w:szCs w:val="18"/>
              </w:rPr>
            </w:pPr>
            <w:r w:rsidRPr="00B125E2">
              <w:rPr>
                <w:sz w:val="18"/>
                <w:szCs w:val="18"/>
              </w:rPr>
              <w:t>Obese</w:t>
            </w:r>
          </w:p>
          <w:p w:rsidR="00B125E2" w:rsidRPr="00B125E2" w:rsidRDefault="00B125E2" w:rsidP="00675F9D">
            <w:pPr>
              <w:contextualSpacing/>
              <w:jc w:val="center"/>
              <w:rPr>
                <w:sz w:val="18"/>
                <w:szCs w:val="18"/>
              </w:rPr>
            </w:pPr>
            <w:proofErr w:type="gramStart"/>
            <w:r w:rsidRPr="00B125E2">
              <w:rPr>
                <w:sz w:val="18"/>
                <w:szCs w:val="18"/>
              </w:rPr>
              <w:t>n</w:t>
            </w:r>
            <w:proofErr w:type="gramEnd"/>
            <w:r w:rsidRPr="00B125E2">
              <w:rPr>
                <w:sz w:val="18"/>
                <w:szCs w:val="18"/>
              </w:rPr>
              <w:t xml:space="preserve"> (%)</w:t>
            </w:r>
          </w:p>
        </w:tc>
        <w:tc>
          <w:tcPr>
            <w:tcW w:w="1274" w:type="dxa"/>
            <w:tcBorders>
              <w:left w:val="nil"/>
              <w:bottom w:val="single" w:sz="4" w:space="0" w:color="auto"/>
              <w:right w:val="nil"/>
            </w:tcBorders>
          </w:tcPr>
          <w:p w:rsidR="00B125E2" w:rsidRPr="00B125E2" w:rsidRDefault="00B125E2" w:rsidP="00675F9D">
            <w:pPr>
              <w:contextualSpacing/>
              <w:jc w:val="center"/>
              <w:rPr>
                <w:sz w:val="18"/>
                <w:szCs w:val="18"/>
              </w:rPr>
            </w:pPr>
            <w:r w:rsidRPr="00B125E2">
              <w:rPr>
                <w:sz w:val="18"/>
                <w:szCs w:val="18"/>
              </w:rPr>
              <w:t>Overweight</w:t>
            </w:r>
          </w:p>
          <w:p w:rsidR="00B125E2" w:rsidRPr="00B125E2" w:rsidRDefault="00B125E2" w:rsidP="00675F9D">
            <w:pPr>
              <w:contextualSpacing/>
              <w:jc w:val="center"/>
              <w:rPr>
                <w:sz w:val="18"/>
                <w:szCs w:val="18"/>
              </w:rPr>
            </w:pPr>
            <w:r w:rsidRPr="00B125E2">
              <w:rPr>
                <w:sz w:val="18"/>
                <w:szCs w:val="18"/>
              </w:rPr>
              <w:t>p-value</w:t>
            </w:r>
          </w:p>
        </w:tc>
        <w:tc>
          <w:tcPr>
            <w:tcW w:w="1000" w:type="dxa"/>
            <w:tcBorders>
              <w:left w:val="nil"/>
              <w:bottom w:val="single" w:sz="4" w:space="0" w:color="auto"/>
              <w:right w:val="nil"/>
            </w:tcBorders>
          </w:tcPr>
          <w:p w:rsidR="00B125E2" w:rsidRPr="00B125E2" w:rsidRDefault="00B125E2" w:rsidP="00675F9D">
            <w:pPr>
              <w:contextualSpacing/>
              <w:jc w:val="center"/>
              <w:rPr>
                <w:sz w:val="18"/>
                <w:szCs w:val="18"/>
              </w:rPr>
            </w:pPr>
            <w:r w:rsidRPr="00B125E2">
              <w:rPr>
                <w:sz w:val="18"/>
                <w:szCs w:val="18"/>
              </w:rPr>
              <w:t>Obese</w:t>
            </w:r>
          </w:p>
          <w:p w:rsidR="00B125E2" w:rsidRPr="00B125E2" w:rsidRDefault="00B125E2" w:rsidP="00675F9D">
            <w:pPr>
              <w:contextualSpacing/>
              <w:jc w:val="center"/>
              <w:rPr>
                <w:sz w:val="18"/>
                <w:szCs w:val="18"/>
              </w:rPr>
            </w:pPr>
            <w:r w:rsidRPr="00B125E2">
              <w:rPr>
                <w:sz w:val="18"/>
                <w:szCs w:val="18"/>
              </w:rPr>
              <w:t>p-value</w:t>
            </w:r>
          </w:p>
        </w:tc>
      </w:tr>
      <w:tr w:rsidR="00B125E2" w:rsidRPr="00B125E2" w:rsidTr="00240F53">
        <w:trPr>
          <w:trHeight w:val="269"/>
          <w:jc w:val="center"/>
        </w:trPr>
        <w:tc>
          <w:tcPr>
            <w:tcW w:w="1283" w:type="dxa"/>
            <w:tcBorders>
              <w:left w:val="nil"/>
              <w:bottom w:val="nil"/>
              <w:right w:val="nil"/>
            </w:tcBorders>
          </w:tcPr>
          <w:p w:rsidR="00B125E2" w:rsidRPr="00E22970" w:rsidRDefault="00B125E2" w:rsidP="00675F9D">
            <w:pPr>
              <w:rPr>
                <w:b/>
                <w:sz w:val="18"/>
                <w:szCs w:val="18"/>
              </w:rPr>
            </w:pPr>
            <w:r w:rsidRPr="00E22970">
              <w:rPr>
                <w:b/>
                <w:sz w:val="18"/>
                <w:szCs w:val="18"/>
              </w:rPr>
              <w:t>Children</w:t>
            </w:r>
          </w:p>
        </w:tc>
        <w:tc>
          <w:tcPr>
            <w:tcW w:w="1012" w:type="dxa"/>
            <w:tcBorders>
              <w:left w:val="nil"/>
              <w:bottom w:val="nil"/>
              <w:right w:val="nil"/>
            </w:tcBorders>
          </w:tcPr>
          <w:p w:rsidR="00B125E2" w:rsidRPr="00E22970" w:rsidRDefault="00B125E2" w:rsidP="00675F9D">
            <w:pPr>
              <w:rPr>
                <w:b/>
                <w:sz w:val="18"/>
                <w:szCs w:val="18"/>
              </w:rPr>
            </w:pPr>
          </w:p>
        </w:tc>
        <w:tc>
          <w:tcPr>
            <w:tcW w:w="1078" w:type="dxa"/>
            <w:tcBorders>
              <w:left w:val="nil"/>
              <w:bottom w:val="nil"/>
              <w:right w:val="nil"/>
            </w:tcBorders>
          </w:tcPr>
          <w:p w:rsidR="00B125E2" w:rsidRPr="00E22970" w:rsidRDefault="00B125E2" w:rsidP="00675F9D">
            <w:pPr>
              <w:jc w:val="center"/>
              <w:rPr>
                <w:sz w:val="18"/>
                <w:szCs w:val="18"/>
              </w:rPr>
            </w:pPr>
          </w:p>
        </w:tc>
        <w:tc>
          <w:tcPr>
            <w:tcW w:w="1467" w:type="dxa"/>
            <w:tcBorders>
              <w:left w:val="nil"/>
              <w:bottom w:val="nil"/>
              <w:right w:val="nil"/>
            </w:tcBorders>
          </w:tcPr>
          <w:p w:rsidR="00B125E2" w:rsidRPr="00B125E2" w:rsidRDefault="00B125E2" w:rsidP="00675F9D">
            <w:pPr>
              <w:jc w:val="right"/>
              <w:rPr>
                <w:sz w:val="18"/>
                <w:szCs w:val="18"/>
              </w:rPr>
            </w:pPr>
          </w:p>
        </w:tc>
        <w:tc>
          <w:tcPr>
            <w:tcW w:w="1153" w:type="dxa"/>
            <w:tcBorders>
              <w:left w:val="nil"/>
              <w:bottom w:val="nil"/>
              <w:right w:val="nil"/>
            </w:tcBorders>
            <w:vAlign w:val="center"/>
          </w:tcPr>
          <w:p w:rsidR="00B125E2" w:rsidRPr="00B125E2" w:rsidRDefault="00B125E2" w:rsidP="00675F9D">
            <w:pPr>
              <w:pStyle w:val="NoSpacing"/>
              <w:jc w:val="right"/>
              <w:rPr>
                <w:sz w:val="18"/>
                <w:szCs w:val="18"/>
              </w:rPr>
            </w:pPr>
          </w:p>
        </w:tc>
        <w:tc>
          <w:tcPr>
            <w:tcW w:w="1274" w:type="dxa"/>
            <w:tcBorders>
              <w:left w:val="nil"/>
              <w:bottom w:val="nil"/>
              <w:right w:val="nil"/>
            </w:tcBorders>
          </w:tcPr>
          <w:p w:rsidR="00B125E2" w:rsidRPr="00B125E2" w:rsidRDefault="00B125E2" w:rsidP="00675F9D">
            <w:pPr>
              <w:jc w:val="right"/>
              <w:rPr>
                <w:sz w:val="18"/>
                <w:szCs w:val="18"/>
              </w:rPr>
            </w:pPr>
            <w:r w:rsidRPr="00B125E2">
              <w:rPr>
                <w:sz w:val="18"/>
                <w:szCs w:val="18"/>
              </w:rPr>
              <w:t>0.0031</w:t>
            </w:r>
          </w:p>
        </w:tc>
        <w:tc>
          <w:tcPr>
            <w:tcW w:w="1000" w:type="dxa"/>
            <w:tcBorders>
              <w:left w:val="nil"/>
              <w:bottom w:val="nil"/>
              <w:right w:val="nil"/>
            </w:tcBorders>
          </w:tcPr>
          <w:p w:rsidR="00B125E2" w:rsidRPr="00B125E2" w:rsidRDefault="00B125E2" w:rsidP="00675F9D">
            <w:pPr>
              <w:pStyle w:val="NoSpacing"/>
              <w:jc w:val="right"/>
              <w:rPr>
                <w:sz w:val="18"/>
                <w:szCs w:val="18"/>
              </w:rPr>
            </w:pPr>
            <w:r w:rsidRPr="00B125E2">
              <w:rPr>
                <w:sz w:val="18"/>
                <w:szCs w:val="18"/>
              </w:rPr>
              <w:t>0.3056</w:t>
            </w:r>
          </w:p>
        </w:tc>
      </w:tr>
      <w:tr w:rsidR="00B125E2" w:rsidRPr="00E22970" w:rsidTr="00240F53">
        <w:trPr>
          <w:trHeight w:val="269"/>
          <w:jc w:val="center"/>
        </w:trPr>
        <w:tc>
          <w:tcPr>
            <w:tcW w:w="1283" w:type="dxa"/>
            <w:tcBorders>
              <w:top w:val="nil"/>
              <w:left w:val="nil"/>
              <w:bottom w:val="nil"/>
              <w:right w:val="nil"/>
            </w:tcBorders>
          </w:tcPr>
          <w:p w:rsidR="00B125E2" w:rsidRPr="00E22970" w:rsidRDefault="00B125E2" w:rsidP="00B125E2">
            <w:pPr>
              <w:ind w:firstLine="229"/>
              <w:rPr>
                <w:sz w:val="18"/>
                <w:szCs w:val="18"/>
              </w:rPr>
            </w:pPr>
            <w:r w:rsidRPr="00E22970">
              <w:rPr>
                <w:sz w:val="18"/>
                <w:szCs w:val="18"/>
              </w:rPr>
              <w:t xml:space="preserve">Overall </w:t>
            </w:r>
          </w:p>
        </w:tc>
        <w:tc>
          <w:tcPr>
            <w:tcW w:w="1012" w:type="dxa"/>
            <w:tcBorders>
              <w:top w:val="nil"/>
              <w:left w:val="nil"/>
              <w:bottom w:val="nil"/>
              <w:right w:val="nil"/>
            </w:tcBorders>
          </w:tcPr>
          <w:p w:rsidR="00B125E2" w:rsidRPr="00B125E2" w:rsidRDefault="00B125E2" w:rsidP="00675F9D">
            <w:pPr>
              <w:rPr>
                <w:sz w:val="18"/>
                <w:szCs w:val="18"/>
              </w:rPr>
            </w:pPr>
            <w:r w:rsidRPr="00B125E2">
              <w:rPr>
                <w:sz w:val="18"/>
                <w:szCs w:val="18"/>
              </w:rPr>
              <w:t>2006</w:t>
            </w:r>
          </w:p>
        </w:tc>
        <w:tc>
          <w:tcPr>
            <w:tcW w:w="1078" w:type="dxa"/>
            <w:tcBorders>
              <w:top w:val="nil"/>
              <w:left w:val="nil"/>
              <w:bottom w:val="nil"/>
              <w:right w:val="nil"/>
            </w:tcBorders>
          </w:tcPr>
          <w:p w:rsidR="00B125E2" w:rsidRPr="00E22970" w:rsidRDefault="00B125E2" w:rsidP="00675F9D">
            <w:pPr>
              <w:jc w:val="center"/>
              <w:rPr>
                <w:sz w:val="18"/>
                <w:szCs w:val="18"/>
              </w:rPr>
            </w:pPr>
            <w:r w:rsidRPr="00E22970">
              <w:rPr>
                <w:sz w:val="18"/>
                <w:szCs w:val="18"/>
              </w:rPr>
              <w:t>n = 482</w:t>
            </w:r>
          </w:p>
        </w:tc>
        <w:tc>
          <w:tcPr>
            <w:tcW w:w="1467" w:type="dxa"/>
            <w:tcBorders>
              <w:top w:val="nil"/>
              <w:left w:val="nil"/>
              <w:bottom w:val="nil"/>
              <w:right w:val="nil"/>
            </w:tcBorders>
          </w:tcPr>
          <w:p w:rsidR="00B125E2" w:rsidRPr="00E22970" w:rsidRDefault="00B125E2" w:rsidP="00675F9D">
            <w:pPr>
              <w:jc w:val="right"/>
              <w:rPr>
                <w:sz w:val="18"/>
                <w:szCs w:val="18"/>
              </w:rPr>
            </w:pPr>
            <w:r w:rsidRPr="00E22970">
              <w:rPr>
                <w:sz w:val="18"/>
                <w:szCs w:val="18"/>
              </w:rPr>
              <w:t>62 (12.9)</w:t>
            </w:r>
          </w:p>
        </w:tc>
        <w:tc>
          <w:tcPr>
            <w:tcW w:w="1153" w:type="dxa"/>
            <w:tcBorders>
              <w:top w:val="nil"/>
              <w:left w:val="nil"/>
              <w:bottom w:val="nil"/>
              <w:right w:val="nil"/>
            </w:tcBorders>
            <w:vAlign w:val="center"/>
          </w:tcPr>
          <w:p w:rsidR="00B125E2" w:rsidRPr="00E22970" w:rsidRDefault="00B125E2" w:rsidP="00675F9D">
            <w:pPr>
              <w:pStyle w:val="NoSpacing"/>
              <w:jc w:val="right"/>
              <w:rPr>
                <w:b/>
                <w:sz w:val="18"/>
                <w:szCs w:val="18"/>
              </w:rPr>
            </w:pPr>
            <w:r w:rsidRPr="00E22970">
              <w:rPr>
                <w:sz w:val="18"/>
                <w:szCs w:val="18"/>
              </w:rPr>
              <w:t>65 (13.5)</w:t>
            </w: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pStyle w:val="NoSpacing"/>
              <w:jc w:val="right"/>
              <w:rPr>
                <w:b/>
                <w:sz w:val="18"/>
                <w:szCs w:val="18"/>
              </w:rPr>
            </w:pPr>
          </w:p>
        </w:tc>
      </w:tr>
      <w:tr w:rsidR="00B125E2" w:rsidRPr="00E22970" w:rsidTr="00240F53">
        <w:trPr>
          <w:trHeight w:val="269"/>
          <w:jc w:val="center"/>
        </w:trPr>
        <w:tc>
          <w:tcPr>
            <w:tcW w:w="1283" w:type="dxa"/>
            <w:tcBorders>
              <w:top w:val="nil"/>
              <w:left w:val="nil"/>
              <w:bottom w:val="nil"/>
              <w:right w:val="nil"/>
            </w:tcBorders>
          </w:tcPr>
          <w:p w:rsidR="00B125E2" w:rsidRPr="00E22970" w:rsidRDefault="00B125E2" w:rsidP="00675F9D">
            <w:pPr>
              <w:rPr>
                <w:sz w:val="18"/>
                <w:szCs w:val="18"/>
              </w:rPr>
            </w:pPr>
          </w:p>
        </w:tc>
        <w:tc>
          <w:tcPr>
            <w:tcW w:w="1012" w:type="dxa"/>
            <w:tcBorders>
              <w:top w:val="nil"/>
              <w:left w:val="nil"/>
              <w:bottom w:val="nil"/>
              <w:right w:val="nil"/>
            </w:tcBorders>
          </w:tcPr>
          <w:p w:rsidR="00B125E2" w:rsidRPr="00B125E2" w:rsidRDefault="00B125E2" w:rsidP="00675F9D">
            <w:pPr>
              <w:rPr>
                <w:sz w:val="18"/>
                <w:szCs w:val="18"/>
              </w:rPr>
            </w:pPr>
            <w:r w:rsidRPr="00B125E2">
              <w:rPr>
                <w:sz w:val="18"/>
                <w:szCs w:val="18"/>
              </w:rPr>
              <w:t>2009/10</w:t>
            </w:r>
          </w:p>
        </w:tc>
        <w:tc>
          <w:tcPr>
            <w:tcW w:w="1078" w:type="dxa"/>
            <w:tcBorders>
              <w:top w:val="nil"/>
              <w:left w:val="nil"/>
              <w:bottom w:val="nil"/>
              <w:right w:val="nil"/>
            </w:tcBorders>
          </w:tcPr>
          <w:p w:rsidR="00B125E2" w:rsidRPr="00E22970" w:rsidRDefault="00B125E2" w:rsidP="00675F9D">
            <w:pPr>
              <w:jc w:val="center"/>
              <w:rPr>
                <w:sz w:val="18"/>
                <w:szCs w:val="18"/>
              </w:rPr>
            </w:pPr>
            <w:r w:rsidRPr="00E22970">
              <w:rPr>
                <w:sz w:val="18"/>
                <w:szCs w:val="18"/>
              </w:rPr>
              <w:t>n = 559</w:t>
            </w:r>
          </w:p>
        </w:tc>
        <w:tc>
          <w:tcPr>
            <w:tcW w:w="1467" w:type="dxa"/>
            <w:tcBorders>
              <w:top w:val="nil"/>
              <w:left w:val="nil"/>
              <w:bottom w:val="nil"/>
              <w:right w:val="nil"/>
            </w:tcBorders>
            <w:vAlign w:val="center"/>
          </w:tcPr>
          <w:p w:rsidR="00B125E2" w:rsidRPr="00E22970" w:rsidRDefault="00B125E2" w:rsidP="00675F9D">
            <w:pPr>
              <w:pStyle w:val="NoSpacing"/>
              <w:jc w:val="right"/>
              <w:rPr>
                <w:b/>
                <w:sz w:val="18"/>
                <w:szCs w:val="18"/>
              </w:rPr>
            </w:pPr>
            <w:r w:rsidRPr="00E22970">
              <w:rPr>
                <w:sz w:val="18"/>
                <w:szCs w:val="18"/>
              </w:rPr>
              <w:t>107 (19.1)</w:t>
            </w:r>
          </w:p>
        </w:tc>
        <w:tc>
          <w:tcPr>
            <w:tcW w:w="1153" w:type="dxa"/>
            <w:tcBorders>
              <w:top w:val="nil"/>
              <w:left w:val="nil"/>
              <w:bottom w:val="nil"/>
              <w:right w:val="nil"/>
            </w:tcBorders>
            <w:vAlign w:val="center"/>
          </w:tcPr>
          <w:p w:rsidR="00B125E2" w:rsidRPr="00E22970" w:rsidRDefault="00B125E2" w:rsidP="00675F9D">
            <w:pPr>
              <w:pStyle w:val="NoSpacing"/>
              <w:jc w:val="right"/>
              <w:rPr>
                <w:b/>
                <w:sz w:val="18"/>
                <w:szCs w:val="18"/>
              </w:rPr>
            </w:pPr>
            <w:r w:rsidRPr="00E22970">
              <w:rPr>
                <w:sz w:val="18"/>
                <w:szCs w:val="18"/>
              </w:rPr>
              <w:t>88 (15.7)</w:t>
            </w: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pStyle w:val="NoSpacing"/>
              <w:jc w:val="right"/>
              <w:rPr>
                <w:b/>
                <w:sz w:val="18"/>
                <w:szCs w:val="18"/>
              </w:rPr>
            </w:pPr>
          </w:p>
        </w:tc>
      </w:tr>
      <w:tr w:rsidR="00B125E2" w:rsidRPr="00E22970" w:rsidTr="00240F53">
        <w:trPr>
          <w:trHeight w:val="269"/>
          <w:jc w:val="center"/>
        </w:trPr>
        <w:tc>
          <w:tcPr>
            <w:tcW w:w="1283" w:type="dxa"/>
            <w:tcBorders>
              <w:top w:val="nil"/>
              <w:left w:val="nil"/>
              <w:bottom w:val="nil"/>
              <w:right w:val="nil"/>
            </w:tcBorders>
          </w:tcPr>
          <w:p w:rsidR="00B125E2" w:rsidRPr="00E22970" w:rsidRDefault="00B125E2" w:rsidP="00675F9D">
            <w:pPr>
              <w:rPr>
                <w:sz w:val="18"/>
                <w:szCs w:val="18"/>
              </w:rPr>
            </w:pPr>
            <w:r w:rsidRPr="00E22970">
              <w:rPr>
                <w:b/>
                <w:sz w:val="18"/>
                <w:szCs w:val="18"/>
              </w:rPr>
              <w:t>Gender</w:t>
            </w:r>
          </w:p>
        </w:tc>
        <w:tc>
          <w:tcPr>
            <w:tcW w:w="1012" w:type="dxa"/>
            <w:tcBorders>
              <w:top w:val="nil"/>
              <w:left w:val="nil"/>
              <w:bottom w:val="nil"/>
              <w:right w:val="nil"/>
            </w:tcBorders>
          </w:tcPr>
          <w:p w:rsidR="00B125E2" w:rsidRPr="00E22970" w:rsidRDefault="00B125E2" w:rsidP="00675F9D">
            <w:pPr>
              <w:rPr>
                <w:sz w:val="18"/>
                <w:szCs w:val="18"/>
              </w:rPr>
            </w:pPr>
          </w:p>
        </w:tc>
        <w:tc>
          <w:tcPr>
            <w:tcW w:w="1078" w:type="dxa"/>
            <w:tcBorders>
              <w:top w:val="nil"/>
              <w:left w:val="nil"/>
              <w:bottom w:val="nil"/>
              <w:right w:val="nil"/>
            </w:tcBorders>
          </w:tcPr>
          <w:p w:rsidR="00B125E2" w:rsidRPr="00E22970" w:rsidRDefault="00B125E2" w:rsidP="00675F9D">
            <w:pPr>
              <w:rPr>
                <w:sz w:val="18"/>
                <w:szCs w:val="18"/>
              </w:rPr>
            </w:pPr>
          </w:p>
        </w:tc>
        <w:tc>
          <w:tcPr>
            <w:tcW w:w="1467" w:type="dxa"/>
            <w:tcBorders>
              <w:top w:val="nil"/>
              <w:left w:val="nil"/>
              <w:bottom w:val="nil"/>
              <w:right w:val="nil"/>
            </w:tcBorders>
          </w:tcPr>
          <w:p w:rsidR="00B125E2" w:rsidRPr="00E22970" w:rsidRDefault="00B125E2" w:rsidP="00675F9D">
            <w:pPr>
              <w:jc w:val="right"/>
              <w:rPr>
                <w:sz w:val="18"/>
                <w:szCs w:val="18"/>
              </w:rPr>
            </w:pPr>
          </w:p>
        </w:tc>
        <w:tc>
          <w:tcPr>
            <w:tcW w:w="1153" w:type="dxa"/>
            <w:tcBorders>
              <w:top w:val="nil"/>
              <w:left w:val="nil"/>
              <w:bottom w:val="nil"/>
              <w:right w:val="nil"/>
            </w:tcBorders>
          </w:tcPr>
          <w:p w:rsidR="00B125E2" w:rsidRPr="00E22970" w:rsidRDefault="00B125E2" w:rsidP="00675F9D">
            <w:pPr>
              <w:jc w:val="right"/>
              <w:rPr>
                <w:sz w:val="18"/>
                <w:szCs w:val="18"/>
              </w:rPr>
            </w:pPr>
          </w:p>
        </w:tc>
        <w:tc>
          <w:tcPr>
            <w:tcW w:w="1274" w:type="dxa"/>
            <w:tcBorders>
              <w:top w:val="nil"/>
              <w:left w:val="nil"/>
              <w:bottom w:val="nil"/>
              <w:right w:val="nil"/>
            </w:tcBorders>
          </w:tcPr>
          <w:p w:rsidR="00B125E2" w:rsidRPr="00B125E2" w:rsidRDefault="00B125E2" w:rsidP="00675F9D">
            <w:pPr>
              <w:jc w:val="right"/>
              <w:rPr>
                <w:sz w:val="18"/>
                <w:szCs w:val="18"/>
              </w:rPr>
            </w:pPr>
            <w:r w:rsidRPr="00B125E2">
              <w:rPr>
                <w:sz w:val="18"/>
                <w:szCs w:val="18"/>
              </w:rPr>
              <w:t>0.3904†</w:t>
            </w:r>
          </w:p>
          <w:p w:rsidR="00B125E2" w:rsidRPr="00B125E2" w:rsidRDefault="00B125E2" w:rsidP="00675F9D">
            <w:pPr>
              <w:jc w:val="right"/>
              <w:rPr>
                <w:sz w:val="18"/>
                <w:szCs w:val="18"/>
              </w:rPr>
            </w:pPr>
            <w:r w:rsidRPr="00B125E2">
              <w:rPr>
                <w:sz w:val="18"/>
                <w:szCs w:val="18"/>
              </w:rPr>
              <w:t>0.5543‡</w:t>
            </w:r>
          </w:p>
        </w:tc>
        <w:tc>
          <w:tcPr>
            <w:tcW w:w="1000" w:type="dxa"/>
            <w:tcBorders>
              <w:top w:val="nil"/>
              <w:left w:val="nil"/>
              <w:bottom w:val="nil"/>
              <w:right w:val="nil"/>
            </w:tcBorders>
          </w:tcPr>
          <w:p w:rsidR="00B125E2" w:rsidRPr="00B125E2" w:rsidRDefault="00B125E2" w:rsidP="00675F9D">
            <w:pPr>
              <w:jc w:val="right"/>
              <w:rPr>
                <w:sz w:val="18"/>
                <w:szCs w:val="18"/>
              </w:rPr>
            </w:pPr>
            <w:r w:rsidRPr="00B125E2">
              <w:rPr>
                <w:sz w:val="18"/>
                <w:szCs w:val="18"/>
              </w:rPr>
              <w:t>0.6396†</w:t>
            </w:r>
          </w:p>
          <w:p w:rsidR="00B125E2" w:rsidRPr="00B125E2" w:rsidRDefault="00B125E2" w:rsidP="00675F9D">
            <w:pPr>
              <w:jc w:val="right"/>
              <w:rPr>
                <w:sz w:val="18"/>
                <w:szCs w:val="18"/>
              </w:rPr>
            </w:pPr>
            <w:r w:rsidRPr="00B125E2">
              <w:rPr>
                <w:sz w:val="18"/>
                <w:szCs w:val="18"/>
              </w:rPr>
              <w:t>0.7900‡</w:t>
            </w:r>
          </w:p>
        </w:tc>
      </w:tr>
      <w:tr w:rsidR="00B125E2" w:rsidRPr="00E22970" w:rsidTr="00240F53">
        <w:trPr>
          <w:trHeight w:val="286"/>
          <w:jc w:val="center"/>
        </w:trPr>
        <w:tc>
          <w:tcPr>
            <w:tcW w:w="1283" w:type="dxa"/>
            <w:tcBorders>
              <w:top w:val="nil"/>
              <w:left w:val="nil"/>
              <w:bottom w:val="nil"/>
              <w:right w:val="nil"/>
            </w:tcBorders>
            <w:vAlign w:val="center"/>
          </w:tcPr>
          <w:p w:rsidR="00B125E2" w:rsidRPr="00E22970" w:rsidRDefault="00B125E2" w:rsidP="00B125E2">
            <w:pPr>
              <w:pStyle w:val="NoSpacing"/>
              <w:ind w:firstLine="229"/>
              <w:rPr>
                <w:sz w:val="18"/>
                <w:szCs w:val="18"/>
              </w:rPr>
            </w:pPr>
            <w:r w:rsidRPr="00E22970">
              <w:rPr>
                <w:sz w:val="18"/>
                <w:szCs w:val="18"/>
              </w:rPr>
              <w:t xml:space="preserve">Boys </w:t>
            </w:r>
          </w:p>
        </w:tc>
        <w:tc>
          <w:tcPr>
            <w:tcW w:w="1012" w:type="dxa"/>
            <w:tcBorders>
              <w:top w:val="nil"/>
              <w:left w:val="nil"/>
              <w:bottom w:val="nil"/>
              <w:right w:val="nil"/>
            </w:tcBorders>
          </w:tcPr>
          <w:p w:rsidR="00B125E2" w:rsidRPr="00B125E2" w:rsidRDefault="00B125E2" w:rsidP="00675F9D">
            <w:pPr>
              <w:rPr>
                <w:sz w:val="18"/>
                <w:szCs w:val="18"/>
              </w:rPr>
            </w:pPr>
            <w:r w:rsidRPr="00B125E2">
              <w:rPr>
                <w:sz w:val="18"/>
                <w:szCs w:val="18"/>
              </w:rPr>
              <w:t>2006</w:t>
            </w:r>
          </w:p>
        </w:tc>
        <w:tc>
          <w:tcPr>
            <w:tcW w:w="1078" w:type="dxa"/>
            <w:tcBorders>
              <w:top w:val="nil"/>
              <w:left w:val="nil"/>
              <w:bottom w:val="nil"/>
              <w:right w:val="nil"/>
            </w:tcBorders>
          </w:tcPr>
          <w:p w:rsidR="00B125E2" w:rsidRPr="00E22970" w:rsidRDefault="00B125E2" w:rsidP="00675F9D">
            <w:pPr>
              <w:jc w:val="center"/>
              <w:rPr>
                <w:sz w:val="18"/>
                <w:szCs w:val="18"/>
              </w:rPr>
            </w:pPr>
            <w:r w:rsidRPr="00E22970">
              <w:rPr>
                <w:sz w:val="18"/>
                <w:szCs w:val="18"/>
              </w:rPr>
              <w:t>n = 236</w:t>
            </w:r>
          </w:p>
        </w:tc>
        <w:tc>
          <w:tcPr>
            <w:tcW w:w="1467" w:type="dxa"/>
            <w:tcBorders>
              <w:top w:val="nil"/>
              <w:left w:val="nil"/>
              <w:bottom w:val="nil"/>
              <w:right w:val="nil"/>
            </w:tcBorders>
            <w:vAlign w:val="center"/>
          </w:tcPr>
          <w:p w:rsidR="00B125E2" w:rsidRPr="00E22970" w:rsidRDefault="00B125E2" w:rsidP="00675F9D">
            <w:pPr>
              <w:jc w:val="right"/>
              <w:rPr>
                <w:sz w:val="18"/>
                <w:szCs w:val="18"/>
              </w:rPr>
            </w:pPr>
            <w:r w:rsidRPr="00E22970">
              <w:rPr>
                <w:sz w:val="18"/>
                <w:szCs w:val="18"/>
              </w:rPr>
              <w:t>34 (14.4)</w:t>
            </w:r>
          </w:p>
        </w:tc>
        <w:tc>
          <w:tcPr>
            <w:tcW w:w="1153" w:type="dxa"/>
            <w:tcBorders>
              <w:top w:val="nil"/>
              <w:left w:val="nil"/>
              <w:bottom w:val="nil"/>
              <w:right w:val="nil"/>
            </w:tcBorders>
            <w:vAlign w:val="center"/>
          </w:tcPr>
          <w:p w:rsidR="00B125E2" w:rsidRPr="00E22970" w:rsidRDefault="00B125E2" w:rsidP="00675F9D">
            <w:pPr>
              <w:jc w:val="right"/>
              <w:rPr>
                <w:sz w:val="18"/>
                <w:szCs w:val="18"/>
              </w:rPr>
            </w:pPr>
            <w:r w:rsidRPr="00E22970">
              <w:rPr>
                <w:sz w:val="18"/>
                <w:szCs w:val="18"/>
              </w:rPr>
              <w:t>30 (12.7)</w:t>
            </w:r>
          </w:p>
        </w:tc>
        <w:tc>
          <w:tcPr>
            <w:tcW w:w="1274" w:type="dxa"/>
            <w:tcBorders>
              <w:top w:val="nil"/>
              <w:left w:val="nil"/>
              <w:bottom w:val="nil"/>
              <w:right w:val="nil"/>
            </w:tcBorders>
          </w:tcPr>
          <w:p w:rsidR="00B125E2" w:rsidRPr="00E22970" w:rsidRDefault="00B125E2" w:rsidP="00675F9D">
            <w:pPr>
              <w:jc w:val="right"/>
              <w:rPr>
                <w:b/>
                <w:i/>
                <w:sz w:val="18"/>
                <w:szCs w:val="18"/>
              </w:rPr>
            </w:pPr>
          </w:p>
        </w:tc>
        <w:tc>
          <w:tcPr>
            <w:tcW w:w="1000" w:type="dxa"/>
            <w:tcBorders>
              <w:top w:val="nil"/>
              <w:left w:val="nil"/>
              <w:bottom w:val="nil"/>
              <w:right w:val="nil"/>
            </w:tcBorders>
          </w:tcPr>
          <w:p w:rsidR="00B125E2" w:rsidRPr="00E22970" w:rsidRDefault="00B125E2" w:rsidP="00675F9D">
            <w:pPr>
              <w:jc w:val="right"/>
              <w:rPr>
                <w:sz w:val="18"/>
                <w:szCs w:val="18"/>
              </w:rPr>
            </w:pPr>
          </w:p>
        </w:tc>
      </w:tr>
      <w:tr w:rsidR="00B125E2" w:rsidRPr="00E22970" w:rsidTr="00240F53">
        <w:trPr>
          <w:trHeight w:val="269"/>
          <w:jc w:val="center"/>
        </w:trPr>
        <w:tc>
          <w:tcPr>
            <w:tcW w:w="1283" w:type="dxa"/>
            <w:tcBorders>
              <w:top w:val="nil"/>
              <w:left w:val="nil"/>
              <w:bottom w:val="nil"/>
              <w:right w:val="nil"/>
            </w:tcBorders>
            <w:vAlign w:val="center"/>
          </w:tcPr>
          <w:p w:rsidR="00B125E2" w:rsidRPr="00E22970" w:rsidRDefault="00B125E2" w:rsidP="00B125E2">
            <w:pPr>
              <w:pStyle w:val="NoSpacing"/>
              <w:ind w:firstLine="229"/>
              <w:rPr>
                <w:sz w:val="18"/>
                <w:szCs w:val="18"/>
              </w:rPr>
            </w:pPr>
          </w:p>
        </w:tc>
        <w:tc>
          <w:tcPr>
            <w:tcW w:w="1012" w:type="dxa"/>
            <w:tcBorders>
              <w:top w:val="nil"/>
              <w:left w:val="nil"/>
              <w:bottom w:val="nil"/>
              <w:right w:val="nil"/>
            </w:tcBorders>
          </w:tcPr>
          <w:p w:rsidR="00B125E2" w:rsidRPr="00B125E2" w:rsidRDefault="00B125E2" w:rsidP="00675F9D">
            <w:pPr>
              <w:rPr>
                <w:sz w:val="18"/>
                <w:szCs w:val="18"/>
              </w:rPr>
            </w:pPr>
            <w:r w:rsidRPr="00B125E2">
              <w:rPr>
                <w:sz w:val="18"/>
                <w:szCs w:val="18"/>
              </w:rPr>
              <w:t>2009/10</w:t>
            </w:r>
          </w:p>
        </w:tc>
        <w:tc>
          <w:tcPr>
            <w:tcW w:w="1078" w:type="dxa"/>
            <w:tcBorders>
              <w:top w:val="nil"/>
              <w:left w:val="nil"/>
              <w:bottom w:val="nil"/>
              <w:right w:val="nil"/>
            </w:tcBorders>
          </w:tcPr>
          <w:p w:rsidR="00B125E2" w:rsidRPr="00E22970" w:rsidRDefault="00B125E2" w:rsidP="00675F9D">
            <w:pPr>
              <w:jc w:val="center"/>
              <w:rPr>
                <w:sz w:val="18"/>
                <w:szCs w:val="18"/>
              </w:rPr>
            </w:pPr>
            <w:r w:rsidRPr="00E22970">
              <w:rPr>
                <w:sz w:val="18"/>
                <w:szCs w:val="18"/>
              </w:rPr>
              <w:t>n = 271</w:t>
            </w:r>
          </w:p>
        </w:tc>
        <w:tc>
          <w:tcPr>
            <w:tcW w:w="1467" w:type="dxa"/>
            <w:tcBorders>
              <w:top w:val="nil"/>
              <w:left w:val="nil"/>
              <w:bottom w:val="nil"/>
              <w:right w:val="nil"/>
            </w:tcBorders>
            <w:vAlign w:val="center"/>
          </w:tcPr>
          <w:p w:rsidR="00B125E2" w:rsidRPr="00E22970" w:rsidRDefault="00B125E2" w:rsidP="00675F9D">
            <w:pPr>
              <w:jc w:val="right"/>
              <w:rPr>
                <w:sz w:val="18"/>
                <w:szCs w:val="18"/>
              </w:rPr>
            </w:pPr>
            <w:r w:rsidRPr="00E22970">
              <w:rPr>
                <w:sz w:val="18"/>
                <w:szCs w:val="18"/>
              </w:rPr>
              <w:t>53 (19.6)</w:t>
            </w:r>
          </w:p>
        </w:tc>
        <w:tc>
          <w:tcPr>
            <w:tcW w:w="1153" w:type="dxa"/>
            <w:tcBorders>
              <w:top w:val="nil"/>
              <w:left w:val="nil"/>
              <w:bottom w:val="nil"/>
              <w:right w:val="nil"/>
            </w:tcBorders>
            <w:vAlign w:val="center"/>
          </w:tcPr>
          <w:p w:rsidR="00B125E2" w:rsidRPr="00E22970" w:rsidRDefault="00B125E2" w:rsidP="00675F9D">
            <w:pPr>
              <w:jc w:val="right"/>
              <w:rPr>
                <w:sz w:val="18"/>
                <w:szCs w:val="18"/>
              </w:rPr>
            </w:pPr>
            <w:r w:rsidRPr="00E22970">
              <w:rPr>
                <w:sz w:val="18"/>
                <w:szCs w:val="18"/>
              </w:rPr>
              <w:t>42 (15.5)</w:t>
            </w: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jc w:val="right"/>
              <w:rPr>
                <w:sz w:val="18"/>
                <w:szCs w:val="18"/>
              </w:rPr>
            </w:pPr>
          </w:p>
        </w:tc>
      </w:tr>
      <w:tr w:rsidR="00B125E2" w:rsidRPr="00E22970" w:rsidTr="00240F53">
        <w:trPr>
          <w:trHeight w:val="269"/>
          <w:jc w:val="center"/>
        </w:trPr>
        <w:tc>
          <w:tcPr>
            <w:tcW w:w="1283" w:type="dxa"/>
            <w:tcBorders>
              <w:top w:val="nil"/>
              <w:left w:val="nil"/>
              <w:bottom w:val="nil"/>
              <w:right w:val="nil"/>
            </w:tcBorders>
            <w:vAlign w:val="center"/>
          </w:tcPr>
          <w:p w:rsidR="00B125E2" w:rsidRPr="00E22970" w:rsidRDefault="00B125E2" w:rsidP="00B125E2">
            <w:pPr>
              <w:pStyle w:val="NoSpacing"/>
              <w:ind w:firstLine="229"/>
              <w:rPr>
                <w:sz w:val="18"/>
                <w:szCs w:val="18"/>
              </w:rPr>
            </w:pPr>
          </w:p>
        </w:tc>
        <w:tc>
          <w:tcPr>
            <w:tcW w:w="1012" w:type="dxa"/>
            <w:tcBorders>
              <w:top w:val="nil"/>
              <w:left w:val="nil"/>
              <w:bottom w:val="nil"/>
              <w:right w:val="nil"/>
            </w:tcBorders>
          </w:tcPr>
          <w:p w:rsidR="00B125E2" w:rsidRPr="00E22970" w:rsidRDefault="00B125E2" w:rsidP="00675F9D">
            <w:pPr>
              <w:rPr>
                <w:b/>
                <w:sz w:val="18"/>
                <w:szCs w:val="18"/>
              </w:rPr>
            </w:pPr>
          </w:p>
        </w:tc>
        <w:tc>
          <w:tcPr>
            <w:tcW w:w="1078" w:type="dxa"/>
            <w:tcBorders>
              <w:top w:val="nil"/>
              <w:left w:val="nil"/>
              <w:bottom w:val="nil"/>
              <w:right w:val="nil"/>
            </w:tcBorders>
          </w:tcPr>
          <w:p w:rsidR="00B125E2" w:rsidRPr="00E22970" w:rsidRDefault="00B125E2" w:rsidP="00675F9D">
            <w:pPr>
              <w:pStyle w:val="NoSpacing"/>
              <w:jc w:val="center"/>
              <w:rPr>
                <w:sz w:val="18"/>
                <w:szCs w:val="18"/>
              </w:rPr>
            </w:pPr>
          </w:p>
        </w:tc>
        <w:tc>
          <w:tcPr>
            <w:tcW w:w="1467" w:type="dxa"/>
            <w:tcBorders>
              <w:top w:val="nil"/>
              <w:left w:val="nil"/>
              <w:bottom w:val="nil"/>
              <w:right w:val="nil"/>
            </w:tcBorders>
            <w:vAlign w:val="center"/>
          </w:tcPr>
          <w:p w:rsidR="00B125E2" w:rsidRPr="00E22970" w:rsidRDefault="00B125E2" w:rsidP="00675F9D">
            <w:pPr>
              <w:pStyle w:val="NoSpacing"/>
              <w:jc w:val="right"/>
              <w:rPr>
                <w:sz w:val="18"/>
                <w:szCs w:val="18"/>
              </w:rPr>
            </w:pPr>
          </w:p>
        </w:tc>
        <w:tc>
          <w:tcPr>
            <w:tcW w:w="1153" w:type="dxa"/>
            <w:tcBorders>
              <w:top w:val="nil"/>
              <w:left w:val="nil"/>
              <w:bottom w:val="nil"/>
              <w:right w:val="nil"/>
            </w:tcBorders>
            <w:vAlign w:val="center"/>
          </w:tcPr>
          <w:p w:rsidR="00B125E2" w:rsidRPr="00E22970" w:rsidRDefault="00B125E2" w:rsidP="00675F9D">
            <w:pPr>
              <w:pStyle w:val="NoSpacing"/>
              <w:jc w:val="right"/>
              <w:rPr>
                <w:sz w:val="18"/>
                <w:szCs w:val="18"/>
              </w:rPr>
            </w:pP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pStyle w:val="NoSpacing"/>
              <w:jc w:val="right"/>
              <w:rPr>
                <w:sz w:val="18"/>
                <w:szCs w:val="18"/>
              </w:rPr>
            </w:pPr>
          </w:p>
        </w:tc>
      </w:tr>
      <w:tr w:rsidR="00B125E2" w:rsidRPr="00E22970" w:rsidTr="00240F53">
        <w:trPr>
          <w:trHeight w:val="269"/>
          <w:jc w:val="center"/>
        </w:trPr>
        <w:tc>
          <w:tcPr>
            <w:tcW w:w="1283" w:type="dxa"/>
            <w:tcBorders>
              <w:top w:val="nil"/>
              <w:left w:val="nil"/>
              <w:bottom w:val="nil"/>
              <w:right w:val="nil"/>
            </w:tcBorders>
            <w:vAlign w:val="center"/>
          </w:tcPr>
          <w:p w:rsidR="00B125E2" w:rsidRPr="00E22970" w:rsidRDefault="00B125E2" w:rsidP="00B125E2">
            <w:pPr>
              <w:pStyle w:val="NoSpacing"/>
              <w:ind w:firstLine="229"/>
              <w:rPr>
                <w:sz w:val="18"/>
                <w:szCs w:val="18"/>
              </w:rPr>
            </w:pPr>
            <w:r w:rsidRPr="00E22970">
              <w:rPr>
                <w:sz w:val="18"/>
                <w:szCs w:val="18"/>
              </w:rPr>
              <w:t xml:space="preserve">Girls </w:t>
            </w:r>
          </w:p>
        </w:tc>
        <w:tc>
          <w:tcPr>
            <w:tcW w:w="1012" w:type="dxa"/>
            <w:tcBorders>
              <w:top w:val="nil"/>
              <w:left w:val="nil"/>
              <w:bottom w:val="nil"/>
              <w:right w:val="nil"/>
            </w:tcBorders>
          </w:tcPr>
          <w:p w:rsidR="00B125E2" w:rsidRPr="00B125E2" w:rsidRDefault="00B125E2" w:rsidP="00675F9D">
            <w:pPr>
              <w:rPr>
                <w:sz w:val="18"/>
                <w:szCs w:val="18"/>
              </w:rPr>
            </w:pPr>
            <w:r w:rsidRPr="00B125E2">
              <w:rPr>
                <w:sz w:val="18"/>
                <w:szCs w:val="18"/>
              </w:rPr>
              <w:t>2006</w:t>
            </w:r>
          </w:p>
        </w:tc>
        <w:tc>
          <w:tcPr>
            <w:tcW w:w="1078" w:type="dxa"/>
            <w:tcBorders>
              <w:top w:val="nil"/>
              <w:left w:val="nil"/>
              <w:bottom w:val="nil"/>
              <w:right w:val="nil"/>
            </w:tcBorders>
          </w:tcPr>
          <w:p w:rsidR="00B125E2" w:rsidRPr="00E22970" w:rsidRDefault="00B125E2" w:rsidP="00675F9D">
            <w:pPr>
              <w:pStyle w:val="NoSpacing"/>
              <w:jc w:val="center"/>
              <w:rPr>
                <w:sz w:val="18"/>
                <w:szCs w:val="18"/>
              </w:rPr>
            </w:pPr>
            <w:r w:rsidRPr="00E22970">
              <w:rPr>
                <w:sz w:val="18"/>
                <w:szCs w:val="18"/>
              </w:rPr>
              <w:t>n = 246</w:t>
            </w:r>
          </w:p>
        </w:tc>
        <w:tc>
          <w:tcPr>
            <w:tcW w:w="1467" w:type="dxa"/>
            <w:tcBorders>
              <w:top w:val="nil"/>
              <w:left w:val="nil"/>
              <w:bottom w:val="nil"/>
              <w:right w:val="nil"/>
            </w:tcBorders>
            <w:vAlign w:val="center"/>
          </w:tcPr>
          <w:p w:rsidR="00B125E2" w:rsidRPr="00E22970" w:rsidRDefault="00B125E2" w:rsidP="00675F9D">
            <w:pPr>
              <w:pStyle w:val="NoSpacing"/>
              <w:jc w:val="right"/>
              <w:rPr>
                <w:sz w:val="18"/>
                <w:szCs w:val="18"/>
              </w:rPr>
            </w:pPr>
            <w:r w:rsidRPr="00E22970">
              <w:rPr>
                <w:sz w:val="18"/>
                <w:szCs w:val="18"/>
              </w:rPr>
              <w:t>28 (11.4)</w:t>
            </w:r>
          </w:p>
        </w:tc>
        <w:tc>
          <w:tcPr>
            <w:tcW w:w="1153" w:type="dxa"/>
            <w:tcBorders>
              <w:top w:val="nil"/>
              <w:left w:val="nil"/>
              <w:bottom w:val="nil"/>
              <w:right w:val="nil"/>
            </w:tcBorders>
            <w:vAlign w:val="center"/>
          </w:tcPr>
          <w:p w:rsidR="00B125E2" w:rsidRPr="00E22970" w:rsidRDefault="00B125E2" w:rsidP="00675F9D">
            <w:pPr>
              <w:pStyle w:val="NoSpacing"/>
              <w:jc w:val="right"/>
              <w:rPr>
                <w:sz w:val="18"/>
                <w:szCs w:val="18"/>
              </w:rPr>
            </w:pPr>
            <w:r w:rsidRPr="00E22970">
              <w:rPr>
                <w:sz w:val="18"/>
                <w:szCs w:val="18"/>
              </w:rPr>
              <w:t>35 (14.2)</w:t>
            </w: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pStyle w:val="NoSpacing"/>
              <w:jc w:val="right"/>
              <w:rPr>
                <w:sz w:val="18"/>
                <w:szCs w:val="18"/>
              </w:rPr>
            </w:pPr>
          </w:p>
        </w:tc>
      </w:tr>
      <w:tr w:rsidR="00B125E2" w:rsidRPr="00E22970" w:rsidTr="00240F53">
        <w:trPr>
          <w:trHeight w:val="269"/>
          <w:jc w:val="center"/>
        </w:trPr>
        <w:tc>
          <w:tcPr>
            <w:tcW w:w="1283" w:type="dxa"/>
            <w:tcBorders>
              <w:top w:val="nil"/>
              <w:left w:val="nil"/>
              <w:bottom w:val="nil"/>
              <w:right w:val="nil"/>
            </w:tcBorders>
          </w:tcPr>
          <w:p w:rsidR="00B125E2" w:rsidRPr="00E22970" w:rsidRDefault="00B125E2" w:rsidP="00675F9D">
            <w:pPr>
              <w:jc w:val="center"/>
              <w:rPr>
                <w:sz w:val="18"/>
                <w:szCs w:val="18"/>
              </w:rPr>
            </w:pPr>
          </w:p>
        </w:tc>
        <w:tc>
          <w:tcPr>
            <w:tcW w:w="1012" w:type="dxa"/>
            <w:tcBorders>
              <w:top w:val="nil"/>
              <w:left w:val="nil"/>
              <w:bottom w:val="nil"/>
              <w:right w:val="nil"/>
            </w:tcBorders>
          </w:tcPr>
          <w:p w:rsidR="00B125E2" w:rsidRPr="00B125E2" w:rsidRDefault="00B125E2" w:rsidP="00675F9D">
            <w:pPr>
              <w:rPr>
                <w:sz w:val="18"/>
                <w:szCs w:val="18"/>
              </w:rPr>
            </w:pPr>
            <w:r w:rsidRPr="00B125E2">
              <w:rPr>
                <w:sz w:val="18"/>
                <w:szCs w:val="18"/>
              </w:rPr>
              <w:t>2009/10</w:t>
            </w:r>
          </w:p>
        </w:tc>
        <w:tc>
          <w:tcPr>
            <w:tcW w:w="1078" w:type="dxa"/>
            <w:tcBorders>
              <w:top w:val="nil"/>
              <w:left w:val="nil"/>
              <w:bottom w:val="nil"/>
              <w:right w:val="nil"/>
            </w:tcBorders>
          </w:tcPr>
          <w:p w:rsidR="00B125E2" w:rsidRPr="00E22970" w:rsidRDefault="00B125E2" w:rsidP="00675F9D">
            <w:pPr>
              <w:jc w:val="center"/>
              <w:rPr>
                <w:sz w:val="18"/>
                <w:szCs w:val="18"/>
              </w:rPr>
            </w:pPr>
            <w:r w:rsidRPr="00E22970">
              <w:rPr>
                <w:sz w:val="18"/>
                <w:szCs w:val="18"/>
              </w:rPr>
              <w:t>n = 288</w:t>
            </w:r>
          </w:p>
        </w:tc>
        <w:tc>
          <w:tcPr>
            <w:tcW w:w="1467" w:type="dxa"/>
            <w:tcBorders>
              <w:top w:val="nil"/>
              <w:left w:val="nil"/>
              <w:bottom w:val="nil"/>
              <w:right w:val="nil"/>
            </w:tcBorders>
            <w:vAlign w:val="center"/>
          </w:tcPr>
          <w:p w:rsidR="00B125E2" w:rsidRPr="00E22970" w:rsidRDefault="00B125E2" w:rsidP="00675F9D">
            <w:pPr>
              <w:pStyle w:val="NoSpacing"/>
              <w:jc w:val="right"/>
              <w:rPr>
                <w:sz w:val="18"/>
                <w:szCs w:val="18"/>
              </w:rPr>
            </w:pPr>
            <w:r w:rsidRPr="00E22970">
              <w:rPr>
                <w:sz w:val="18"/>
                <w:szCs w:val="18"/>
              </w:rPr>
              <w:t>54 (18.8)</w:t>
            </w:r>
          </w:p>
        </w:tc>
        <w:tc>
          <w:tcPr>
            <w:tcW w:w="1153" w:type="dxa"/>
            <w:tcBorders>
              <w:top w:val="nil"/>
              <w:left w:val="nil"/>
              <w:bottom w:val="nil"/>
              <w:right w:val="nil"/>
            </w:tcBorders>
            <w:vAlign w:val="center"/>
          </w:tcPr>
          <w:p w:rsidR="00B125E2" w:rsidRPr="00E22970" w:rsidRDefault="00B125E2" w:rsidP="00675F9D">
            <w:pPr>
              <w:pStyle w:val="NoSpacing"/>
              <w:jc w:val="right"/>
              <w:rPr>
                <w:sz w:val="18"/>
                <w:szCs w:val="18"/>
              </w:rPr>
            </w:pPr>
            <w:r w:rsidRPr="00E22970">
              <w:rPr>
                <w:sz w:val="18"/>
                <w:szCs w:val="18"/>
              </w:rPr>
              <w:t>46 (16.0)</w:t>
            </w: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pStyle w:val="NoSpacing"/>
              <w:jc w:val="right"/>
              <w:rPr>
                <w:sz w:val="18"/>
                <w:szCs w:val="18"/>
              </w:rPr>
            </w:pPr>
          </w:p>
        </w:tc>
      </w:tr>
      <w:tr w:rsidR="00B125E2" w:rsidRPr="00E22970" w:rsidTr="00240F53">
        <w:trPr>
          <w:trHeight w:val="269"/>
          <w:jc w:val="center"/>
        </w:trPr>
        <w:tc>
          <w:tcPr>
            <w:tcW w:w="1283" w:type="dxa"/>
            <w:tcBorders>
              <w:top w:val="nil"/>
              <w:left w:val="nil"/>
              <w:bottom w:val="nil"/>
              <w:right w:val="nil"/>
            </w:tcBorders>
            <w:vAlign w:val="center"/>
          </w:tcPr>
          <w:p w:rsidR="00B125E2" w:rsidRPr="00E22970" w:rsidRDefault="00B125E2" w:rsidP="00675F9D">
            <w:pPr>
              <w:rPr>
                <w:b/>
                <w:sz w:val="18"/>
                <w:szCs w:val="18"/>
              </w:rPr>
            </w:pPr>
            <w:r w:rsidRPr="00E22970">
              <w:rPr>
                <w:b/>
                <w:sz w:val="18"/>
                <w:szCs w:val="18"/>
              </w:rPr>
              <w:t>Ethnicity</w:t>
            </w:r>
          </w:p>
        </w:tc>
        <w:tc>
          <w:tcPr>
            <w:tcW w:w="1012" w:type="dxa"/>
            <w:tcBorders>
              <w:top w:val="nil"/>
              <w:left w:val="nil"/>
              <w:bottom w:val="nil"/>
              <w:right w:val="nil"/>
            </w:tcBorders>
          </w:tcPr>
          <w:p w:rsidR="00B125E2" w:rsidRPr="00E22970" w:rsidRDefault="00B125E2" w:rsidP="00675F9D">
            <w:pPr>
              <w:rPr>
                <w:sz w:val="18"/>
                <w:szCs w:val="18"/>
              </w:rPr>
            </w:pPr>
          </w:p>
        </w:tc>
        <w:tc>
          <w:tcPr>
            <w:tcW w:w="1078" w:type="dxa"/>
            <w:tcBorders>
              <w:top w:val="nil"/>
              <w:left w:val="nil"/>
              <w:bottom w:val="nil"/>
              <w:right w:val="nil"/>
            </w:tcBorders>
          </w:tcPr>
          <w:p w:rsidR="00B125E2" w:rsidRPr="00E22970" w:rsidRDefault="00B125E2" w:rsidP="00675F9D">
            <w:pPr>
              <w:rPr>
                <w:sz w:val="18"/>
                <w:szCs w:val="18"/>
              </w:rPr>
            </w:pPr>
          </w:p>
        </w:tc>
        <w:tc>
          <w:tcPr>
            <w:tcW w:w="1467" w:type="dxa"/>
            <w:tcBorders>
              <w:top w:val="nil"/>
              <w:left w:val="nil"/>
              <w:bottom w:val="nil"/>
              <w:right w:val="nil"/>
            </w:tcBorders>
          </w:tcPr>
          <w:p w:rsidR="00B125E2" w:rsidRPr="00E22970" w:rsidRDefault="00B125E2" w:rsidP="00675F9D">
            <w:pPr>
              <w:jc w:val="right"/>
              <w:rPr>
                <w:sz w:val="18"/>
                <w:szCs w:val="18"/>
              </w:rPr>
            </w:pPr>
          </w:p>
        </w:tc>
        <w:tc>
          <w:tcPr>
            <w:tcW w:w="1153" w:type="dxa"/>
            <w:tcBorders>
              <w:top w:val="nil"/>
              <w:left w:val="nil"/>
              <w:bottom w:val="nil"/>
              <w:right w:val="nil"/>
            </w:tcBorders>
          </w:tcPr>
          <w:p w:rsidR="00B125E2" w:rsidRPr="00E22970" w:rsidRDefault="00B125E2" w:rsidP="00675F9D">
            <w:pPr>
              <w:jc w:val="right"/>
              <w:rPr>
                <w:sz w:val="18"/>
                <w:szCs w:val="18"/>
              </w:rPr>
            </w:pPr>
          </w:p>
        </w:tc>
        <w:tc>
          <w:tcPr>
            <w:tcW w:w="1274" w:type="dxa"/>
            <w:tcBorders>
              <w:top w:val="nil"/>
              <w:left w:val="nil"/>
              <w:bottom w:val="nil"/>
              <w:right w:val="nil"/>
            </w:tcBorders>
          </w:tcPr>
          <w:p w:rsidR="00B125E2" w:rsidRPr="00B125E2" w:rsidRDefault="00B125E2" w:rsidP="00675F9D">
            <w:pPr>
              <w:jc w:val="right"/>
              <w:rPr>
                <w:sz w:val="18"/>
                <w:szCs w:val="18"/>
              </w:rPr>
            </w:pPr>
            <w:r w:rsidRPr="00B125E2">
              <w:rPr>
                <w:sz w:val="18"/>
                <w:szCs w:val="18"/>
              </w:rPr>
              <w:t>0.1681†</w:t>
            </w:r>
          </w:p>
          <w:p w:rsidR="00B125E2" w:rsidRPr="00B125E2" w:rsidRDefault="00B125E2" w:rsidP="00675F9D">
            <w:pPr>
              <w:jc w:val="right"/>
              <w:rPr>
                <w:sz w:val="18"/>
                <w:szCs w:val="18"/>
              </w:rPr>
            </w:pPr>
            <w:r w:rsidRPr="00B125E2">
              <w:rPr>
                <w:sz w:val="18"/>
                <w:szCs w:val="18"/>
              </w:rPr>
              <w:t>0.2038‡</w:t>
            </w:r>
          </w:p>
        </w:tc>
        <w:tc>
          <w:tcPr>
            <w:tcW w:w="1000" w:type="dxa"/>
            <w:tcBorders>
              <w:top w:val="nil"/>
              <w:left w:val="nil"/>
              <w:bottom w:val="nil"/>
              <w:right w:val="nil"/>
            </w:tcBorders>
          </w:tcPr>
          <w:p w:rsidR="00B125E2" w:rsidRPr="00B125E2" w:rsidRDefault="00B125E2" w:rsidP="00675F9D">
            <w:pPr>
              <w:jc w:val="right"/>
              <w:rPr>
                <w:sz w:val="18"/>
                <w:szCs w:val="18"/>
              </w:rPr>
            </w:pPr>
            <w:r w:rsidRPr="00B125E2">
              <w:rPr>
                <w:sz w:val="18"/>
                <w:szCs w:val="18"/>
              </w:rPr>
              <w:t>0.0016†</w:t>
            </w:r>
          </w:p>
          <w:p w:rsidR="00B125E2" w:rsidRPr="00B125E2" w:rsidRDefault="00B125E2" w:rsidP="00675F9D">
            <w:pPr>
              <w:jc w:val="right"/>
              <w:rPr>
                <w:color w:val="FF0000"/>
                <w:sz w:val="18"/>
                <w:szCs w:val="18"/>
              </w:rPr>
            </w:pPr>
            <w:r w:rsidRPr="00B125E2">
              <w:rPr>
                <w:sz w:val="18"/>
                <w:szCs w:val="18"/>
              </w:rPr>
              <w:t>0.0233‡</w:t>
            </w:r>
          </w:p>
        </w:tc>
      </w:tr>
      <w:tr w:rsidR="00B125E2" w:rsidRPr="00E22970" w:rsidTr="00240F53">
        <w:trPr>
          <w:trHeight w:val="269"/>
          <w:jc w:val="center"/>
        </w:trPr>
        <w:tc>
          <w:tcPr>
            <w:tcW w:w="1283" w:type="dxa"/>
            <w:tcBorders>
              <w:top w:val="nil"/>
              <w:left w:val="nil"/>
              <w:bottom w:val="nil"/>
              <w:right w:val="nil"/>
            </w:tcBorders>
            <w:vAlign w:val="center"/>
          </w:tcPr>
          <w:p w:rsidR="00B125E2" w:rsidRPr="00E22970" w:rsidRDefault="00B125E2" w:rsidP="00B125E2">
            <w:pPr>
              <w:pStyle w:val="NoSpacing"/>
              <w:ind w:left="229"/>
              <w:rPr>
                <w:sz w:val="18"/>
                <w:szCs w:val="18"/>
              </w:rPr>
            </w:pPr>
            <w:r w:rsidRPr="00E22970">
              <w:rPr>
                <w:sz w:val="18"/>
                <w:szCs w:val="18"/>
              </w:rPr>
              <w:t xml:space="preserve">Caucasian </w:t>
            </w:r>
          </w:p>
        </w:tc>
        <w:tc>
          <w:tcPr>
            <w:tcW w:w="1012" w:type="dxa"/>
            <w:tcBorders>
              <w:top w:val="nil"/>
              <w:left w:val="nil"/>
              <w:bottom w:val="nil"/>
              <w:right w:val="nil"/>
            </w:tcBorders>
          </w:tcPr>
          <w:p w:rsidR="00B125E2" w:rsidRPr="00B125E2" w:rsidRDefault="00B125E2" w:rsidP="00675F9D">
            <w:pPr>
              <w:rPr>
                <w:sz w:val="18"/>
                <w:szCs w:val="18"/>
              </w:rPr>
            </w:pPr>
            <w:r w:rsidRPr="00B125E2">
              <w:rPr>
                <w:sz w:val="18"/>
                <w:szCs w:val="18"/>
              </w:rPr>
              <w:t>2006</w:t>
            </w:r>
          </w:p>
        </w:tc>
        <w:tc>
          <w:tcPr>
            <w:tcW w:w="1078" w:type="dxa"/>
            <w:tcBorders>
              <w:top w:val="nil"/>
              <w:left w:val="nil"/>
              <w:bottom w:val="nil"/>
              <w:right w:val="nil"/>
            </w:tcBorders>
          </w:tcPr>
          <w:p w:rsidR="00B125E2" w:rsidRPr="00E22970" w:rsidRDefault="00B125E2" w:rsidP="00675F9D">
            <w:pPr>
              <w:jc w:val="center"/>
              <w:rPr>
                <w:sz w:val="18"/>
                <w:szCs w:val="18"/>
              </w:rPr>
            </w:pPr>
            <w:r w:rsidRPr="00E22970">
              <w:rPr>
                <w:sz w:val="18"/>
                <w:szCs w:val="18"/>
              </w:rPr>
              <w:t>n = 217</w:t>
            </w:r>
          </w:p>
        </w:tc>
        <w:tc>
          <w:tcPr>
            <w:tcW w:w="1467" w:type="dxa"/>
            <w:tcBorders>
              <w:top w:val="nil"/>
              <w:left w:val="nil"/>
              <w:bottom w:val="nil"/>
              <w:right w:val="nil"/>
            </w:tcBorders>
          </w:tcPr>
          <w:p w:rsidR="00B125E2" w:rsidRPr="00E22970" w:rsidRDefault="00B125E2" w:rsidP="00675F9D">
            <w:pPr>
              <w:jc w:val="right"/>
              <w:rPr>
                <w:sz w:val="18"/>
                <w:szCs w:val="18"/>
              </w:rPr>
            </w:pPr>
            <w:r w:rsidRPr="00E22970">
              <w:rPr>
                <w:sz w:val="18"/>
                <w:szCs w:val="18"/>
              </w:rPr>
              <w:t>28 (13.0)</w:t>
            </w:r>
          </w:p>
        </w:tc>
        <w:tc>
          <w:tcPr>
            <w:tcW w:w="1153" w:type="dxa"/>
            <w:tcBorders>
              <w:top w:val="nil"/>
              <w:left w:val="nil"/>
              <w:bottom w:val="nil"/>
              <w:right w:val="nil"/>
            </w:tcBorders>
            <w:vAlign w:val="center"/>
          </w:tcPr>
          <w:p w:rsidR="00B125E2" w:rsidRPr="00E22970" w:rsidRDefault="00B125E2" w:rsidP="00675F9D">
            <w:pPr>
              <w:jc w:val="right"/>
              <w:rPr>
                <w:sz w:val="18"/>
                <w:szCs w:val="18"/>
              </w:rPr>
            </w:pPr>
            <w:r w:rsidRPr="00E22970">
              <w:rPr>
                <w:sz w:val="18"/>
                <w:szCs w:val="18"/>
              </w:rPr>
              <w:t>27 (12.4)</w:t>
            </w: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jc w:val="right"/>
              <w:rPr>
                <w:sz w:val="18"/>
                <w:szCs w:val="18"/>
              </w:rPr>
            </w:pPr>
          </w:p>
        </w:tc>
      </w:tr>
      <w:tr w:rsidR="00B125E2" w:rsidRPr="00E22970" w:rsidTr="00240F53">
        <w:trPr>
          <w:trHeight w:val="286"/>
          <w:jc w:val="center"/>
        </w:trPr>
        <w:tc>
          <w:tcPr>
            <w:tcW w:w="1283" w:type="dxa"/>
            <w:tcBorders>
              <w:top w:val="nil"/>
              <w:left w:val="nil"/>
              <w:bottom w:val="nil"/>
              <w:right w:val="nil"/>
            </w:tcBorders>
            <w:vAlign w:val="center"/>
          </w:tcPr>
          <w:p w:rsidR="00B125E2" w:rsidRPr="00E22970" w:rsidRDefault="00B125E2" w:rsidP="00B125E2">
            <w:pPr>
              <w:pStyle w:val="NoSpacing"/>
              <w:ind w:left="229"/>
              <w:jc w:val="center"/>
              <w:rPr>
                <w:sz w:val="18"/>
                <w:szCs w:val="18"/>
              </w:rPr>
            </w:pPr>
          </w:p>
        </w:tc>
        <w:tc>
          <w:tcPr>
            <w:tcW w:w="1012" w:type="dxa"/>
            <w:tcBorders>
              <w:top w:val="nil"/>
              <w:left w:val="nil"/>
              <w:bottom w:val="nil"/>
              <w:right w:val="nil"/>
            </w:tcBorders>
          </w:tcPr>
          <w:p w:rsidR="00B125E2" w:rsidRPr="00B125E2" w:rsidRDefault="00B125E2" w:rsidP="00675F9D">
            <w:pPr>
              <w:rPr>
                <w:sz w:val="18"/>
                <w:szCs w:val="18"/>
              </w:rPr>
            </w:pPr>
            <w:r w:rsidRPr="00B125E2">
              <w:rPr>
                <w:sz w:val="18"/>
                <w:szCs w:val="18"/>
              </w:rPr>
              <w:t>2009/10</w:t>
            </w:r>
          </w:p>
        </w:tc>
        <w:tc>
          <w:tcPr>
            <w:tcW w:w="1078" w:type="dxa"/>
            <w:tcBorders>
              <w:top w:val="nil"/>
              <w:left w:val="nil"/>
              <w:bottom w:val="nil"/>
              <w:right w:val="nil"/>
            </w:tcBorders>
          </w:tcPr>
          <w:p w:rsidR="00B125E2" w:rsidRPr="00E22970" w:rsidRDefault="00B125E2" w:rsidP="00675F9D">
            <w:pPr>
              <w:jc w:val="center"/>
              <w:rPr>
                <w:sz w:val="18"/>
                <w:szCs w:val="18"/>
              </w:rPr>
            </w:pPr>
            <w:r w:rsidRPr="00E22970">
              <w:rPr>
                <w:sz w:val="18"/>
                <w:szCs w:val="18"/>
              </w:rPr>
              <w:t>n = 270</w:t>
            </w:r>
          </w:p>
        </w:tc>
        <w:tc>
          <w:tcPr>
            <w:tcW w:w="1467" w:type="dxa"/>
            <w:tcBorders>
              <w:top w:val="nil"/>
              <w:left w:val="nil"/>
              <w:bottom w:val="nil"/>
              <w:right w:val="nil"/>
            </w:tcBorders>
            <w:vAlign w:val="center"/>
          </w:tcPr>
          <w:p w:rsidR="00B125E2" w:rsidRPr="00E22970" w:rsidRDefault="00B125E2" w:rsidP="00675F9D">
            <w:pPr>
              <w:jc w:val="right"/>
              <w:rPr>
                <w:sz w:val="18"/>
                <w:szCs w:val="18"/>
              </w:rPr>
            </w:pPr>
            <w:r w:rsidRPr="00E22970">
              <w:rPr>
                <w:sz w:val="18"/>
                <w:szCs w:val="18"/>
              </w:rPr>
              <w:t>46 (17.0)</w:t>
            </w:r>
          </w:p>
        </w:tc>
        <w:tc>
          <w:tcPr>
            <w:tcW w:w="1153" w:type="dxa"/>
            <w:tcBorders>
              <w:top w:val="nil"/>
              <w:left w:val="nil"/>
              <w:bottom w:val="nil"/>
              <w:right w:val="nil"/>
            </w:tcBorders>
            <w:vAlign w:val="center"/>
          </w:tcPr>
          <w:p w:rsidR="00B125E2" w:rsidRPr="00E22970" w:rsidRDefault="00B125E2" w:rsidP="00675F9D">
            <w:pPr>
              <w:jc w:val="right"/>
              <w:rPr>
                <w:sz w:val="18"/>
                <w:szCs w:val="18"/>
              </w:rPr>
            </w:pPr>
            <w:r w:rsidRPr="00E22970">
              <w:rPr>
                <w:sz w:val="18"/>
                <w:szCs w:val="18"/>
              </w:rPr>
              <w:t>25 (9.3)</w:t>
            </w: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jc w:val="right"/>
              <w:rPr>
                <w:sz w:val="18"/>
                <w:szCs w:val="18"/>
              </w:rPr>
            </w:pPr>
          </w:p>
        </w:tc>
      </w:tr>
      <w:tr w:rsidR="00B125E2" w:rsidRPr="00E22970" w:rsidTr="00240F53">
        <w:trPr>
          <w:trHeight w:val="286"/>
          <w:jc w:val="center"/>
        </w:trPr>
        <w:tc>
          <w:tcPr>
            <w:tcW w:w="1283" w:type="dxa"/>
            <w:tcBorders>
              <w:top w:val="nil"/>
              <w:left w:val="nil"/>
              <w:bottom w:val="nil"/>
              <w:right w:val="nil"/>
            </w:tcBorders>
            <w:vAlign w:val="center"/>
          </w:tcPr>
          <w:p w:rsidR="00B125E2" w:rsidRPr="00E22970" w:rsidRDefault="00B125E2" w:rsidP="00B125E2">
            <w:pPr>
              <w:pStyle w:val="NoSpacing"/>
              <w:ind w:left="229"/>
              <w:rPr>
                <w:sz w:val="18"/>
                <w:szCs w:val="18"/>
              </w:rPr>
            </w:pPr>
          </w:p>
        </w:tc>
        <w:tc>
          <w:tcPr>
            <w:tcW w:w="1012" w:type="dxa"/>
            <w:tcBorders>
              <w:top w:val="nil"/>
              <w:left w:val="nil"/>
              <w:bottom w:val="nil"/>
              <w:right w:val="nil"/>
            </w:tcBorders>
          </w:tcPr>
          <w:p w:rsidR="00B125E2" w:rsidRPr="00B125E2" w:rsidRDefault="00B125E2" w:rsidP="00675F9D">
            <w:pPr>
              <w:rPr>
                <w:sz w:val="18"/>
                <w:szCs w:val="18"/>
              </w:rPr>
            </w:pPr>
          </w:p>
        </w:tc>
        <w:tc>
          <w:tcPr>
            <w:tcW w:w="1078" w:type="dxa"/>
            <w:tcBorders>
              <w:top w:val="nil"/>
              <w:left w:val="nil"/>
              <w:bottom w:val="nil"/>
              <w:right w:val="nil"/>
            </w:tcBorders>
          </w:tcPr>
          <w:p w:rsidR="00B125E2" w:rsidRPr="00E22970" w:rsidRDefault="00B125E2" w:rsidP="00675F9D">
            <w:pPr>
              <w:jc w:val="center"/>
              <w:rPr>
                <w:sz w:val="18"/>
                <w:szCs w:val="18"/>
              </w:rPr>
            </w:pPr>
          </w:p>
        </w:tc>
        <w:tc>
          <w:tcPr>
            <w:tcW w:w="1467" w:type="dxa"/>
            <w:tcBorders>
              <w:top w:val="nil"/>
              <w:left w:val="nil"/>
              <w:bottom w:val="nil"/>
              <w:right w:val="nil"/>
            </w:tcBorders>
          </w:tcPr>
          <w:p w:rsidR="00B125E2" w:rsidRPr="00E22970" w:rsidRDefault="00B125E2" w:rsidP="00675F9D">
            <w:pPr>
              <w:jc w:val="right"/>
              <w:rPr>
                <w:sz w:val="18"/>
                <w:szCs w:val="18"/>
              </w:rPr>
            </w:pPr>
          </w:p>
        </w:tc>
        <w:tc>
          <w:tcPr>
            <w:tcW w:w="1153" w:type="dxa"/>
            <w:tcBorders>
              <w:top w:val="nil"/>
              <w:left w:val="nil"/>
              <w:bottom w:val="nil"/>
              <w:right w:val="nil"/>
            </w:tcBorders>
            <w:vAlign w:val="center"/>
          </w:tcPr>
          <w:p w:rsidR="00B125E2" w:rsidRPr="00E22970" w:rsidRDefault="00B125E2" w:rsidP="00675F9D">
            <w:pPr>
              <w:jc w:val="right"/>
              <w:rPr>
                <w:sz w:val="18"/>
                <w:szCs w:val="18"/>
              </w:rPr>
            </w:pP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jc w:val="right"/>
              <w:rPr>
                <w:sz w:val="18"/>
                <w:szCs w:val="18"/>
              </w:rPr>
            </w:pPr>
          </w:p>
        </w:tc>
      </w:tr>
      <w:tr w:rsidR="00B125E2" w:rsidRPr="00E22970" w:rsidTr="00240F53">
        <w:trPr>
          <w:trHeight w:val="286"/>
          <w:jc w:val="center"/>
        </w:trPr>
        <w:tc>
          <w:tcPr>
            <w:tcW w:w="1283" w:type="dxa"/>
            <w:tcBorders>
              <w:top w:val="nil"/>
              <w:left w:val="nil"/>
              <w:bottom w:val="nil"/>
              <w:right w:val="nil"/>
            </w:tcBorders>
            <w:vAlign w:val="center"/>
          </w:tcPr>
          <w:p w:rsidR="00B125E2" w:rsidRPr="00E22970" w:rsidRDefault="00B125E2" w:rsidP="00B125E2">
            <w:pPr>
              <w:pStyle w:val="NoSpacing"/>
              <w:ind w:left="229"/>
              <w:rPr>
                <w:sz w:val="18"/>
                <w:szCs w:val="18"/>
              </w:rPr>
            </w:pPr>
            <w:r w:rsidRPr="00E22970">
              <w:rPr>
                <w:sz w:val="18"/>
                <w:szCs w:val="18"/>
              </w:rPr>
              <w:t xml:space="preserve">Hispanic </w:t>
            </w:r>
          </w:p>
        </w:tc>
        <w:tc>
          <w:tcPr>
            <w:tcW w:w="1012" w:type="dxa"/>
            <w:tcBorders>
              <w:top w:val="nil"/>
              <w:left w:val="nil"/>
              <w:bottom w:val="nil"/>
              <w:right w:val="nil"/>
            </w:tcBorders>
          </w:tcPr>
          <w:p w:rsidR="00B125E2" w:rsidRPr="00B125E2" w:rsidRDefault="00B125E2" w:rsidP="00675F9D">
            <w:pPr>
              <w:rPr>
                <w:sz w:val="18"/>
                <w:szCs w:val="18"/>
              </w:rPr>
            </w:pPr>
            <w:r w:rsidRPr="00B125E2">
              <w:rPr>
                <w:sz w:val="18"/>
                <w:szCs w:val="18"/>
              </w:rPr>
              <w:t>2006</w:t>
            </w:r>
          </w:p>
        </w:tc>
        <w:tc>
          <w:tcPr>
            <w:tcW w:w="1078" w:type="dxa"/>
            <w:tcBorders>
              <w:top w:val="nil"/>
              <w:left w:val="nil"/>
              <w:bottom w:val="nil"/>
              <w:right w:val="nil"/>
            </w:tcBorders>
          </w:tcPr>
          <w:p w:rsidR="00B125E2" w:rsidRPr="00E22970" w:rsidRDefault="00B125E2" w:rsidP="00675F9D">
            <w:pPr>
              <w:jc w:val="center"/>
              <w:rPr>
                <w:sz w:val="18"/>
                <w:szCs w:val="18"/>
              </w:rPr>
            </w:pPr>
            <w:r w:rsidRPr="00E22970">
              <w:rPr>
                <w:sz w:val="18"/>
                <w:szCs w:val="18"/>
              </w:rPr>
              <w:t>n = 265</w:t>
            </w:r>
          </w:p>
        </w:tc>
        <w:tc>
          <w:tcPr>
            <w:tcW w:w="1467" w:type="dxa"/>
            <w:tcBorders>
              <w:top w:val="nil"/>
              <w:left w:val="nil"/>
              <w:bottom w:val="nil"/>
              <w:right w:val="nil"/>
            </w:tcBorders>
          </w:tcPr>
          <w:p w:rsidR="00B125E2" w:rsidRPr="00E22970" w:rsidRDefault="00B125E2" w:rsidP="00675F9D">
            <w:pPr>
              <w:jc w:val="right"/>
              <w:rPr>
                <w:sz w:val="18"/>
                <w:szCs w:val="18"/>
              </w:rPr>
            </w:pPr>
            <w:r w:rsidRPr="00E22970">
              <w:rPr>
                <w:sz w:val="18"/>
                <w:szCs w:val="18"/>
              </w:rPr>
              <w:t>34 (12.8)</w:t>
            </w:r>
          </w:p>
        </w:tc>
        <w:tc>
          <w:tcPr>
            <w:tcW w:w="1153" w:type="dxa"/>
            <w:tcBorders>
              <w:top w:val="nil"/>
              <w:left w:val="nil"/>
              <w:bottom w:val="nil"/>
              <w:right w:val="nil"/>
            </w:tcBorders>
            <w:vAlign w:val="center"/>
          </w:tcPr>
          <w:p w:rsidR="00B125E2" w:rsidRPr="00E22970" w:rsidRDefault="00B125E2" w:rsidP="00675F9D">
            <w:pPr>
              <w:jc w:val="right"/>
              <w:rPr>
                <w:sz w:val="18"/>
                <w:szCs w:val="18"/>
              </w:rPr>
            </w:pPr>
            <w:r w:rsidRPr="00E22970">
              <w:rPr>
                <w:sz w:val="18"/>
                <w:szCs w:val="18"/>
              </w:rPr>
              <w:t>38 (14.3)</w:t>
            </w: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jc w:val="right"/>
              <w:rPr>
                <w:sz w:val="18"/>
                <w:szCs w:val="18"/>
              </w:rPr>
            </w:pPr>
          </w:p>
        </w:tc>
      </w:tr>
      <w:tr w:rsidR="00B125E2" w:rsidRPr="00E22970" w:rsidTr="00240F53">
        <w:trPr>
          <w:trHeight w:val="269"/>
          <w:jc w:val="center"/>
        </w:trPr>
        <w:tc>
          <w:tcPr>
            <w:tcW w:w="1283" w:type="dxa"/>
            <w:tcBorders>
              <w:top w:val="nil"/>
              <w:left w:val="nil"/>
              <w:bottom w:val="nil"/>
              <w:right w:val="nil"/>
            </w:tcBorders>
          </w:tcPr>
          <w:p w:rsidR="00B125E2" w:rsidRPr="00E22970" w:rsidRDefault="00B125E2" w:rsidP="00675F9D">
            <w:pPr>
              <w:rPr>
                <w:sz w:val="18"/>
                <w:szCs w:val="18"/>
              </w:rPr>
            </w:pPr>
          </w:p>
        </w:tc>
        <w:tc>
          <w:tcPr>
            <w:tcW w:w="1012" w:type="dxa"/>
            <w:tcBorders>
              <w:top w:val="nil"/>
              <w:left w:val="nil"/>
              <w:bottom w:val="nil"/>
              <w:right w:val="nil"/>
            </w:tcBorders>
          </w:tcPr>
          <w:p w:rsidR="00B125E2" w:rsidRPr="00B125E2" w:rsidRDefault="00B125E2" w:rsidP="00675F9D">
            <w:pPr>
              <w:rPr>
                <w:sz w:val="18"/>
                <w:szCs w:val="18"/>
              </w:rPr>
            </w:pPr>
            <w:r w:rsidRPr="00B125E2">
              <w:rPr>
                <w:sz w:val="18"/>
                <w:szCs w:val="18"/>
              </w:rPr>
              <w:t>2009/10</w:t>
            </w:r>
          </w:p>
        </w:tc>
        <w:tc>
          <w:tcPr>
            <w:tcW w:w="1078" w:type="dxa"/>
            <w:tcBorders>
              <w:top w:val="nil"/>
              <w:left w:val="nil"/>
              <w:bottom w:val="nil"/>
              <w:right w:val="nil"/>
            </w:tcBorders>
          </w:tcPr>
          <w:p w:rsidR="00B125E2" w:rsidRPr="00E22970" w:rsidRDefault="00B125E2" w:rsidP="00675F9D">
            <w:pPr>
              <w:jc w:val="center"/>
              <w:rPr>
                <w:sz w:val="18"/>
                <w:szCs w:val="18"/>
              </w:rPr>
            </w:pPr>
            <w:r w:rsidRPr="00E22970">
              <w:rPr>
                <w:sz w:val="18"/>
                <w:szCs w:val="18"/>
              </w:rPr>
              <w:t>n = 289</w:t>
            </w:r>
          </w:p>
        </w:tc>
        <w:tc>
          <w:tcPr>
            <w:tcW w:w="1467" w:type="dxa"/>
            <w:tcBorders>
              <w:top w:val="nil"/>
              <w:left w:val="nil"/>
              <w:bottom w:val="nil"/>
              <w:right w:val="nil"/>
            </w:tcBorders>
            <w:vAlign w:val="center"/>
          </w:tcPr>
          <w:p w:rsidR="00B125E2" w:rsidRPr="00E22970" w:rsidRDefault="00B125E2" w:rsidP="00675F9D">
            <w:pPr>
              <w:jc w:val="right"/>
              <w:rPr>
                <w:sz w:val="18"/>
                <w:szCs w:val="18"/>
              </w:rPr>
            </w:pPr>
            <w:r w:rsidRPr="00E22970">
              <w:rPr>
                <w:sz w:val="18"/>
                <w:szCs w:val="18"/>
              </w:rPr>
              <w:t>61 (21.1)</w:t>
            </w:r>
          </w:p>
        </w:tc>
        <w:tc>
          <w:tcPr>
            <w:tcW w:w="1153" w:type="dxa"/>
            <w:tcBorders>
              <w:top w:val="nil"/>
              <w:left w:val="nil"/>
              <w:bottom w:val="nil"/>
              <w:right w:val="nil"/>
            </w:tcBorders>
            <w:vAlign w:val="center"/>
          </w:tcPr>
          <w:p w:rsidR="00B125E2" w:rsidRPr="00E22970" w:rsidRDefault="00B125E2" w:rsidP="00675F9D">
            <w:pPr>
              <w:jc w:val="right"/>
              <w:rPr>
                <w:sz w:val="18"/>
                <w:szCs w:val="18"/>
              </w:rPr>
            </w:pPr>
            <w:r w:rsidRPr="00E22970">
              <w:rPr>
                <w:sz w:val="18"/>
                <w:szCs w:val="18"/>
              </w:rPr>
              <w:t>63 (21.8)</w:t>
            </w: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jc w:val="right"/>
              <w:rPr>
                <w:sz w:val="18"/>
                <w:szCs w:val="18"/>
              </w:rPr>
            </w:pPr>
          </w:p>
        </w:tc>
      </w:tr>
      <w:tr w:rsidR="00B125E2" w:rsidRPr="00E22970" w:rsidTr="00240F53">
        <w:trPr>
          <w:trHeight w:val="269"/>
          <w:jc w:val="center"/>
        </w:trPr>
        <w:tc>
          <w:tcPr>
            <w:tcW w:w="1283" w:type="dxa"/>
            <w:tcBorders>
              <w:top w:val="nil"/>
              <w:left w:val="nil"/>
              <w:bottom w:val="nil"/>
              <w:right w:val="nil"/>
            </w:tcBorders>
            <w:vAlign w:val="center"/>
          </w:tcPr>
          <w:p w:rsidR="00B125E2" w:rsidRPr="00E22970" w:rsidRDefault="00B125E2" w:rsidP="00675F9D">
            <w:pPr>
              <w:pStyle w:val="NoSpacing"/>
              <w:rPr>
                <w:b/>
                <w:sz w:val="18"/>
                <w:szCs w:val="18"/>
              </w:rPr>
            </w:pPr>
            <w:r w:rsidRPr="00E22970">
              <w:rPr>
                <w:b/>
                <w:sz w:val="18"/>
                <w:szCs w:val="18"/>
              </w:rPr>
              <w:t>Type of Preschool</w:t>
            </w:r>
          </w:p>
        </w:tc>
        <w:tc>
          <w:tcPr>
            <w:tcW w:w="1012" w:type="dxa"/>
            <w:tcBorders>
              <w:top w:val="nil"/>
              <w:left w:val="nil"/>
              <w:bottom w:val="nil"/>
              <w:right w:val="nil"/>
            </w:tcBorders>
          </w:tcPr>
          <w:p w:rsidR="00B125E2" w:rsidRPr="00E22970" w:rsidRDefault="00B125E2" w:rsidP="00675F9D">
            <w:pPr>
              <w:rPr>
                <w:sz w:val="18"/>
                <w:szCs w:val="18"/>
              </w:rPr>
            </w:pPr>
          </w:p>
        </w:tc>
        <w:tc>
          <w:tcPr>
            <w:tcW w:w="1078" w:type="dxa"/>
            <w:tcBorders>
              <w:top w:val="nil"/>
              <w:left w:val="nil"/>
              <w:bottom w:val="nil"/>
              <w:right w:val="nil"/>
            </w:tcBorders>
          </w:tcPr>
          <w:p w:rsidR="00B125E2" w:rsidRPr="00E22970" w:rsidRDefault="00B125E2" w:rsidP="00675F9D">
            <w:pPr>
              <w:rPr>
                <w:sz w:val="18"/>
                <w:szCs w:val="18"/>
              </w:rPr>
            </w:pPr>
          </w:p>
        </w:tc>
        <w:tc>
          <w:tcPr>
            <w:tcW w:w="1467" w:type="dxa"/>
            <w:tcBorders>
              <w:top w:val="nil"/>
              <w:left w:val="nil"/>
              <w:bottom w:val="nil"/>
              <w:right w:val="nil"/>
            </w:tcBorders>
          </w:tcPr>
          <w:p w:rsidR="00B125E2" w:rsidRPr="00E22970" w:rsidRDefault="00B125E2" w:rsidP="00675F9D">
            <w:pPr>
              <w:jc w:val="right"/>
              <w:rPr>
                <w:sz w:val="18"/>
                <w:szCs w:val="18"/>
              </w:rPr>
            </w:pPr>
          </w:p>
        </w:tc>
        <w:tc>
          <w:tcPr>
            <w:tcW w:w="1153" w:type="dxa"/>
            <w:tcBorders>
              <w:top w:val="nil"/>
              <w:left w:val="nil"/>
              <w:bottom w:val="nil"/>
              <w:right w:val="nil"/>
            </w:tcBorders>
          </w:tcPr>
          <w:p w:rsidR="00B125E2" w:rsidRPr="00E22970" w:rsidRDefault="00B125E2" w:rsidP="00675F9D">
            <w:pPr>
              <w:jc w:val="right"/>
              <w:rPr>
                <w:sz w:val="18"/>
                <w:szCs w:val="18"/>
              </w:rPr>
            </w:pPr>
          </w:p>
        </w:tc>
        <w:tc>
          <w:tcPr>
            <w:tcW w:w="1274" w:type="dxa"/>
            <w:tcBorders>
              <w:top w:val="nil"/>
              <w:left w:val="nil"/>
              <w:bottom w:val="nil"/>
              <w:right w:val="nil"/>
            </w:tcBorders>
          </w:tcPr>
          <w:p w:rsidR="00B125E2" w:rsidRPr="00B125E2" w:rsidRDefault="00B125E2" w:rsidP="00675F9D">
            <w:pPr>
              <w:jc w:val="right"/>
              <w:rPr>
                <w:sz w:val="18"/>
                <w:szCs w:val="18"/>
              </w:rPr>
            </w:pPr>
            <w:r w:rsidRPr="00B125E2">
              <w:rPr>
                <w:sz w:val="18"/>
                <w:szCs w:val="18"/>
              </w:rPr>
              <w:t>0.1274†</w:t>
            </w:r>
          </w:p>
          <w:p w:rsidR="00B125E2" w:rsidRPr="00B125E2" w:rsidRDefault="00B125E2" w:rsidP="00675F9D">
            <w:pPr>
              <w:jc w:val="right"/>
              <w:rPr>
                <w:sz w:val="18"/>
                <w:szCs w:val="18"/>
              </w:rPr>
            </w:pPr>
            <w:r w:rsidRPr="00B125E2">
              <w:rPr>
                <w:sz w:val="18"/>
                <w:szCs w:val="18"/>
              </w:rPr>
              <w:t>0.0816‡</w:t>
            </w:r>
          </w:p>
        </w:tc>
        <w:tc>
          <w:tcPr>
            <w:tcW w:w="1000" w:type="dxa"/>
            <w:tcBorders>
              <w:top w:val="nil"/>
              <w:left w:val="nil"/>
              <w:bottom w:val="nil"/>
              <w:right w:val="nil"/>
            </w:tcBorders>
          </w:tcPr>
          <w:p w:rsidR="00B125E2" w:rsidRPr="00B125E2" w:rsidRDefault="00B125E2" w:rsidP="00675F9D">
            <w:pPr>
              <w:jc w:val="right"/>
              <w:rPr>
                <w:sz w:val="18"/>
                <w:szCs w:val="18"/>
              </w:rPr>
            </w:pPr>
            <w:r w:rsidRPr="00B125E2">
              <w:rPr>
                <w:sz w:val="18"/>
                <w:szCs w:val="18"/>
              </w:rPr>
              <w:t>0.0009†</w:t>
            </w:r>
          </w:p>
          <w:p w:rsidR="00B125E2" w:rsidRPr="00B125E2" w:rsidRDefault="00B125E2" w:rsidP="00675F9D">
            <w:pPr>
              <w:jc w:val="right"/>
              <w:rPr>
                <w:sz w:val="18"/>
                <w:szCs w:val="18"/>
              </w:rPr>
            </w:pPr>
            <w:r w:rsidRPr="00B125E2">
              <w:rPr>
                <w:sz w:val="18"/>
                <w:szCs w:val="18"/>
              </w:rPr>
              <w:t>0.6129‡</w:t>
            </w:r>
          </w:p>
        </w:tc>
      </w:tr>
      <w:tr w:rsidR="00B125E2" w:rsidRPr="00E22970" w:rsidTr="00240F53">
        <w:trPr>
          <w:trHeight w:val="286"/>
          <w:jc w:val="center"/>
        </w:trPr>
        <w:tc>
          <w:tcPr>
            <w:tcW w:w="1283" w:type="dxa"/>
            <w:tcBorders>
              <w:top w:val="nil"/>
              <w:left w:val="nil"/>
              <w:bottom w:val="nil"/>
              <w:right w:val="nil"/>
            </w:tcBorders>
            <w:vAlign w:val="center"/>
          </w:tcPr>
          <w:p w:rsidR="00B125E2" w:rsidRPr="00E22970" w:rsidRDefault="00B125E2" w:rsidP="00B125E2">
            <w:pPr>
              <w:pStyle w:val="NoSpacing"/>
              <w:ind w:left="229"/>
              <w:rPr>
                <w:sz w:val="18"/>
                <w:szCs w:val="18"/>
              </w:rPr>
            </w:pPr>
            <w:r w:rsidRPr="00E22970">
              <w:rPr>
                <w:sz w:val="18"/>
                <w:szCs w:val="18"/>
              </w:rPr>
              <w:t xml:space="preserve">Head Start </w:t>
            </w:r>
          </w:p>
        </w:tc>
        <w:tc>
          <w:tcPr>
            <w:tcW w:w="1012" w:type="dxa"/>
            <w:tcBorders>
              <w:top w:val="nil"/>
              <w:left w:val="nil"/>
              <w:bottom w:val="nil"/>
              <w:right w:val="nil"/>
            </w:tcBorders>
          </w:tcPr>
          <w:p w:rsidR="00B125E2" w:rsidRPr="00E22970" w:rsidRDefault="00B125E2" w:rsidP="00675F9D">
            <w:pPr>
              <w:rPr>
                <w:b/>
                <w:sz w:val="18"/>
                <w:szCs w:val="18"/>
              </w:rPr>
            </w:pPr>
          </w:p>
        </w:tc>
        <w:tc>
          <w:tcPr>
            <w:tcW w:w="1078" w:type="dxa"/>
            <w:tcBorders>
              <w:top w:val="nil"/>
              <w:left w:val="nil"/>
              <w:bottom w:val="nil"/>
              <w:right w:val="nil"/>
            </w:tcBorders>
          </w:tcPr>
          <w:p w:rsidR="00B125E2" w:rsidRPr="00E22970" w:rsidRDefault="00B125E2" w:rsidP="00675F9D">
            <w:pPr>
              <w:jc w:val="center"/>
              <w:rPr>
                <w:sz w:val="18"/>
                <w:szCs w:val="18"/>
              </w:rPr>
            </w:pPr>
          </w:p>
        </w:tc>
        <w:tc>
          <w:tcPr>
            <w:tcW w:w="1467" w:type="dxa"/>
            <w:tcBorders>
              <w:top w:val="nil"/>
              <w:left w:val="nil"/>
              <w:bottom w:val="nil"/>
              <w:right w:val="nil"/>
            </w:tcBorders>
          </w:tcPr>
          <w:p w:rsidR="00B125E2" w:rsidRPr="00E22970" w:rsidRDefault="00B125E2" w:rsidP="00675F9D">
            <w:pPr>
              <w:jc w:val="right"/>
              <w:rPr>
                <w:sz w:val="18"/>
                <w:szCs w:val="18"/>
              </w:rPr>
            </w:pPr>
          </w:p>
        </w:tc>
        <w:tc>
          <w:tcPr>
            <w:tcW w:w="1153" w:type="dxa"/>
            <w:tcBorders>
              <w:top w:val="nil"/>
              <w:left w:val="nil"/>
              <w:bottom w:val="nil"/>
              <w:right w:val="nil"/>
            </w:tcBorders>
            <w:vAlign w:val="center"/>
          </w:tcPr>
          <w:p w:rsidR="00B125E2" w:rsidRPr="00E22970" w:rsidRDefault="00B125E2" w:rsidP="00675F9D">
            <w:pPr>
              <w:jc w:val="right"/>
              <w:rPr>
                <w:sz w:val="18"/>
                <w:szCs w:val="18"/>
              </w:rPr>
            </w:pP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jc w:val="right"/>
              <w:rPr>
                <w:sz w:val="18"/>
                <w:szCs w:val="18"/>
              </w:rPr>
            </w:pPr>
          </w:p>
        </w:tc>
      </w:tr>
      <w:tr w:rsidR="00B125E2" w:rsidRPr="00E22970" w:rsidTr="00240F53">
        <w:trPr>
          <w:trHeight w:val="269"/>
          <w:jc w:val="center"/>
        </w:trPr>
        <w:tc>
          <w:tcPr>
            <w:tcW w:w="1283" w:type="dxa"/>
            <w:tcBorders>
              <w:top w:val="nil"/>
              <w:left w:val="nil"/>
              <w:bottom w:val="nil"/>
              <w:right w:val="nil"/>
            </w:tcBorders>
            <w:vAlign w:val="center"/>
          </w:tcPr>
          <w:p w:rsidR="00B125E2" w:rsidRPr="00E22970" w:rsidRDefault="00B125E2" w:rsidP="00B125E2">
            <w:pPr>
              <w:pStyle w:val="NoSpacing"/>
              <w:ind w:left="229"/>
              <w:rPr>
                <w:sz w:val="18"/>
                <w:szCs w:val="18"/>
              </w:rPr>
            </w:pPr>
          </w:p>
        </w:tc>
        <w:tc>
          <w:tcPr>
            <w:tcW w:w="1012" w:type="dxa"/>
            <w:tcBorders>
              <w:top w:val="nil"/>
              <w:left w:val="nil"/>
              <w:bottom w:val="nil"/>
              <w:right w:val="nil"/>
            </w:tcBorders>
          </w:tcPr>
          <w:p w:rsidR="00B125E2" w:rsidRPr="00B125E2" w:rsidRDefault="00B125E2" w:rsidP="00675F9D">
            <w:pPr>
              <w:rPr>
                <w:sz w:val="18"/>
                <w:szCs w:val="18"/>
              </w:rPr>
            </w:pPr>
            <w:r w:rsidRPr="00B125E2">
              <w:rPr>
                <w:sz w:val="18"/>
                <w:szCs w:val="18"/>
              </w:rPr>
              <w:t>2006</w:t>
            </w:r>
          </w:p>
        </w:tc>
        <w:tc>
          <w:tcPr>
            <w:tcW w:w="1078" w:type="dxa"/>
            <w:tcBorders>
              <w:top w:val="nil"/>
              <w:left w:val="nil"/>
              <w:bottom w:val="nil"/>
              <w:right w:val="nil"/>
            </w:tcBorders>
          </w:tcPr>
          <w:p w:rsidR="00B125E2" w:rsidRPr="00E22970" w:rsidRDefault="00B125E2" w:rsidP="00675F9D">
            <w:pPr>
              <w:jc w:val="center"/>
              <w:rPr>
                <w:sz w:val="18"/>
                <w:szCs w:val="18"/>
              </w:rPr>
            </w:pPr>
            <w:r w:rsidRPr="00E22970">
              <w:rPr>
                <w:sz w:val="18"/>
                <w:szCs w:val="18"/>
              </w:rPr>
              <w:t>n = 128</w:t>
            </w:r>
          </w:p>
        </w:tc>
        <w:tc>
          <w:tcPr>
            <w:tcW w:w="1467" w:type="dxa"/>
            <w:tcBorders>
              <w:top w:val="nil"/>
              <w:left w:val="nil"/>
              <w:bottom w:val="nil"/>
              <w:right w:val="nil"/>
            </w:tcBorders>
          </w:tcPr>
          <w:p w:rsidR="00B125E2" w:rsidRPr="00E22970" w:rsidRDefault="00B125E2" w:rsidP="00675F9D">
            <w:pPr>
              <w:jc w:val="right"/>
              <w:rPr>
                <w:sz w:val="18"/>
                <w:szCs w:val="18"/>
              </w:rPr>
            </w:pPr>
            <w:r w:rsidRPr="00E22970">
              <w:rPr>
                <w:sz w:val="18"/>
                <w:szCs w:val="18"/>
              </w:rPr>
              <w:t>21 (16.4)</w:t>
            </w:r>
          </w:p>
        </w:tc>
        <w:tc>
          <w:tcPr>
            <w:tcW w:w="1153" w:type="dxa"/>
            <w:tcBorders>
              <w:top w:val="nil"/>
              <w:left w:val="nil"/>
              <w:bottom w:val="nil"/>
              <w:right w:val="nil"/>
            </w:tcBorders>
            <w:vAlign w:val="center"/>
          </w:tcPr>
          <w:p w:rsidR="00B125E2" w:rsidRPr="00E22970" w:rsidRDefault="00B125E2" w:rsidP="00675F9D">
            <w:pPr>
              <w:jc w:val="right"/>
              <w:rPr>
                <w:sz w:val="18"/>
                <w:szCs w:val="18"/>
              </w:rPr>
            </w:pPr>
            <w:r w:rsidRPr="00E22970">
              <w:rPr>
                <w:sz w:val="18"/>
                <w:szCs w:val="18"/>
              </w:rPr>
              <w:t>22 (17.2)</w:t>
            </w: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jc w:val="right"/>
              <w:rPr>
                <w:sz w:val="18"/>
                <w:szCs w:val="18"/>
              </w:rPr>
            </w:pPr>
          </w:p>
        </w:tc>
      </w:tr>
      <w:tr w:rsidR="00B125E2" w:rsidRPr="00E22970" w:rsidTr="00240F53">
        <w:trPr>
          <w:trHeight w:val="286"/>
          <w:jc w:val="center"/>
        </w:trPr>
        <w:tc>
          <w:tcPr>
            <w:tcW w:w="1283" w:type="dxa"/>
            <w:tcBorders>
              <w:top w:val="nil"/>
              <w:left w:val="nil"/>
              <w:bottom w:val="nil"/>
              <w:right w:val="nil"/>
            </w:tcBorders>
            <w:vAlign w:val="center"/>
          </w:tcPr>
          <w:p w:rsidR="00B125E2" w:rsidRPr="00E22970" w:rsidRDefault="00B125E2" w:rsidP="00B125E2">
            <w:pPr>
              <w:pStyle w:val="NoSpacing"/>
              <w:ind w:left="229"/>
              <w:rPr>
                <w:sz w:val="18"/>
                <w:szCs w:val="18"/>
              </w:rPr>
            </w:pPr>
          </w:p>
        </w:tc>
        <w:tc>
          <w:tcPr>
            <w:tcW w:w="1012" w:type="dxa"/>
            <w:tcBorders>
              <w:top w:val="nil"/>
              <w:left w:val="nil"/>
              <w:bottom w:val="nil"/>
              <w:right w:val="nil"/>
            </w:tcBorders>
          </w:tcPr>
          <w:p w:rsidR="00B125E2" w:rsidRPr="00B125E2" w:rsidRDefault="00B125E2" w:rsidP="00675F9D">
            <w:pPr>
              <w:rPr>
                <w:sz w:val="18"/>
                <w:szCs w:val="18"/>
              </w:rPr>
            </w:pPr>
            <w:r w:rsidRPr="00B125E2">
              <w:rPr>
                <w:sz w:val="18"/>
                <w:szCs w:val="18"/>
              </w:rPr>
              <w:t>2009/10</w:t>
            </w:r>
          </w:p>
        </w:tc>
        <w:tc>
          <w:tcPr>
            <w:tcW w:w="1078" w:type="dxa"/>
            <w:tcBorders>
              <w:top w:val="nil"/>
              <w:left w:val="nil"/>
              <w:bottom w:val="nil"/>
              <w:right w:val="nil"/>
            </w:tcBorders>
          </w:tcPr>
          <w:p w:rsidR="00B125E2" w:rsidRPr="00E22970" w:rsidRDefault="00B125E2" w:rsidP="00675F9D">
            <w:pPr>
              <w:jc w:val="center"/>
              <w:rPr>
                <w:sz w:val="18"/>
                <w:szCs w:val="18"/>
              </w:rPr>
            </w:pPr>
            <w:r w:rsidRPr="00E22970">
              <w:rPr>
                <w:sz w:val="18"/>
                <w:szCs w:val="18"/>
              </w:rPr>
              <w:t>n = 146</w:t>
            </w:r>
          </w:p>
        </w:tc>
        <w:tc>
          <w:tcPr>
            <w:tcW w:w="1467" w:type="dxa"/>
            <w:tcBorders>
              <w:top w:val="nil"/>
              <w:left w:val="nil"/>
              <w:bottom w:val="nil"/>
              <w:right w:val="nil"/>
            </w:tcBorders>
            <w:vAlign w:val="center"/>
          </w:tcPr>
          <w:p w:rsidR="00B125E2" w:rsidRPr="00E22970" w:rsidRDefault="00B125E2" w:rsidP="00675F9D">
            <w:pPr>
              <w:jc w:val="right"/>
              <w:rPr>
                <w:sz w:val="18"/>
                <w:szCs w:val="18"/>
              </w:rPr>
            </w:pPr>
            <w:r w:rsidRPr="00E22970">
              <w:rPr>
                <w:sz w:val="18"/>
                <w:szCs w:val="18"/>
              </w:rPr>
              <w:t>61 (21.1)</w:t>
            </w:r>
          </w:p>
        </w:tc>
        <w:tc>
          <w:tcPr>
            <w:tcW w:w="1153" w:type="dxa"/>
            <w:tcBorders>
              <w:top w:val="nil"/>
              <w:left w:val="nil"/>
              <w:bottom w:val="nil"/>
              <w:right w:val="nil"/>
            </w:tcBorders>
            <w:vAlign w:val="center"/>
          </w:tcPr>
          <w:p w:rsidR="00B125E2" w:rsidRPr="00E22970" w:rsidRDefault="00B125E2" w:rsidP="00675F9D">
            <w:pPr>
              <w:jc w:val="right"/>
              <w:rPr>
                <w:sz w:val="18"/>
                <w:szCs w:val="18"/>
              </w:rPr>
            </w:pPr>
            <w:r w:rsidRPr="00E22970">
              <w:rPr>
                <w:sz w:val="18"/>
                <w:szCs w:val="18"/>
              </w:rPr>
              <w:t>63 (21.8)</w:t>
            </w: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jc w:val="right"/>
              <w:rPr>
                <w:sz w:val="18"/>
                <w:szCs w:val="18"/>
              </w:rPr>
            </w:pPr>
          </w:p>
        </w:tc>
      </w:tr>
      <w:tr w:rsidR="00B125E2" w:rsidRPr="00E22970" w:rsidTr="00240F53">
        <w:trPr>
          <w:trHeight w:val="269"/>
          <w:jc w:val="center"/>
        </w:trPr>
        <w:tc>
          <w:tcPr>
            <w:tcW w:w="1283" w:type="dxa"/>
            <w:tcBorders>
              <w:top w:val="nil"/>
              <w:left w:val="nil"/>
              <w:bottom w:val="nil"/>
              <w:right w:val="nil"/>
            </w:tcBorders>
            <w:vAlign w:val="center"/>
          </w:tcPr>
          <w:p w:rsidR="00B125E2" w:rsidRPr="00E22970" w:rsidRDefault="00B125E2" w:rsidP="00B125E2">
            <w:pPr>
              <w:pStyle w:val="NoSpacing"/>
              <w:ind w:left="229"/>
              <w:rPr>
                <w:sz w:val="18"/>
                <w:szCs w:val="18"/>
              </w:rPr>
            </w:pPr>
          </w:p>
        </w:tc>
        <w:tc>
          <w:tcPr>
            <w:tcW w:w="1012" w:type="dxa"/>
            <w:tcBorders>
              <w:top w:val="nil"/>
              <w:left w:val="nil"/>
              <w:bottom w:val="nil"/>
              <w:right w:val="nil"/>
            </w:tcBorders>
          </w:tcPr>
          <w:p w:rsidR="00B125E2" w:rsidRPr="00B125E2" w:rsidRDefault="00B125E2" w:rsidP="00675F9D">
            <w:pPr>
              <w:rPr>
                <w:sz w:val="18"/>
                <w:szCs w:val="18"/>
              </w:rPr>
            </w:pPr>
          </w:p>
        </w:tc>
        <w:tc>
          <w:tcPr>
            <w:tcW w:w="1078" w:type="dxa"/>
            <w:tcBorders>
              <w:top w:val="nil"/>
              <w:left w:val="nil"/>
              <w:bottom w:val="nil"/>
              <w:right w:val="nil"/>
            </w:tcBorders>
          </w:tcPr>
          <w:p w:rsidR="00B125E2" w:rsidRPr="00E22970" w:rsidRDefault="00B125E2" w:rsidP="00675F9D">
            <w:pPr>
              <w:jc w:val="center"/>
              <w:rPr>
                <w:sz w:val="18"/>
                <w:szCs w:val="18"/>
              </w:rPr>
            </w:pPr>
          </w:p>
        </w:tc>
        <w:tc>
          <w:tcPr>
            <w:tcW w:w="1467" w:type="dxa"/>
            <w:tcBorders>
              <w:top w:val="nil"/>
              <w:left w:val="nil"/>
              <w:bottom w:val="nil"/>
              <w:right w:val="nil"/>
            </w:tcBorders>
          </w:tcPr>
          <w:p w:rsidR="00B125E2" w:rsidRPr="00E22970" w:rsidRDefault="00B125E2" w:rsidP="00675F9D">
            <w:pPr>
              <w:jc w:val="right"/>
              <w:rPr>
                <w:sz w:val="18"/>
                <w:szCs w:val="18"/>
              </w:rPr>
            </w:pPr>
          </w:p>
        </w:tc>
        <w:tc>
          <w:tcPr>
            <w:tcW w:w="1153" w:type="dxa"/>
            <w:tcBorders>
              <w:top w:val="nil"/>
              <w:left w:val="nil"/>
              <w:bottom w:val="nil"/>
              <w:right w:val="nil"/>
            </w:tcBorders>
          </w:tcPr>
          <w:p w:rsidR="00B125E2" w:rsidRPr="00E22970" w:rsidRDefault="00B125E2" w:rsidP="00675F9D">
            <w:pPr>
              <w:jc w:val="right"/>
              <w:rPr>
                <w:sz w:val="18"/>
                <w:szCs w:val="18"/>
              </w:rPr>
            </w:pP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jc w:val="right"/>
              <w:rPr>
                <w:sz w:val="18"/>
                <w:szCs w:val="18"/>
              </w:rPr>
            </w:pPr>
          </w:p>
        </w:tc>
      </w:tr>
      <w:tr w:rsidR="00B125E2" w:rsidRPr="00E22970" w:rsidTr="00240F53">
        <w:trPr>
          <w:trHeight w:val="269"/>
          <w:jc w:val="center"/>
        </w:trPr>
        <w:tc>
          <w:tcPr>
            <w:tcW w:w="1283" w:type="dxa"/>
            <w:tcBorders>
              <w:top w:val="nil"/>
              <w:left w:val="nil"/>
              <w:bottom w:val="nil"/>
              <w:right w:val="nil"/>
            </w:tcBorders>
            <w:vAlign w:val="center"/>
          </w:tcPr>
          <w:p w:rsidR="00B125E2" w:rsidRPr="00E22970" w:rsidRDefault="00B125E2" w:rsidP="00B125E2">
            <w:pPr>
              <w:pStyle w:val="NoSpacing"/>
              <w:ind w:left="229"/>
              <w:rPr>
                <w:sz w:val="18"/>
                <w:szCs w:val="18"/>
              </w:rPr>
            </w:pPr>
            <w:r w:rsidRPr="00E22970">
              <w:rPr>
                <w:sz w:val="18"/>
                <w:szCs w:val="18"/>
              </w:rPr>
              <w:t xml:space="preserve">CA State </w:t>
            </w:r>
          </w:p>
        </w:tc>
        <w:tc>
          <w:tcPr>
            <w:tcW w:w="1012" w:type="dxa"/>
            <w:tcBorders>
              <w:top w:val="nil"/>
              <w:left w:val="nil"/>
              <w:bottom w:val="nil"/>
              <w:right w:val="nil"/>
            </w:tcBorders>
          </w:tcPr>
          <w:p w:rsidR="00B125E2" w:rsidRPr="00B125E2" w:rsidRDefault="00B125E2" w:rsidP="00675F9D">
            <w:pPr>
              <w:rPr>
                <w:sz w:val="18"/>
                <w:szCs w:val="18"/>
              </w:rPr>
            </w:pPr>
          </w:p>
        </w:tc>
        <w:tc>
          <w:tcPr>
            <w:tcW w:w="1078" w:type="dxa"/>
            <w:tcBorders>
              <w:top w:val="nil"/>
              <w:left w:val="nil"/>
              <w:bottom w:val="nil"/>
              <w:right w:val="nil"/>
            </w:tcBorders>
          </w:tcPr>
          <w:p w:rsidR="00B125E2" w:rsidRPr="00E22970" w:rsidRDefault="00B125E2" w:rsidP="00675F9D">
            <w:pPr>
              <w:jc w:val="center"/>
              <w:rPr>
                <w:sz w:val="18"/>
                <w:szCs w:val="18"/>
              </w:rPr>
            </w:pPr>
          </w:p>
        </w:tc>
        <w:tc>
          <w:tcPr>
            <w:tcW w:w="1467" w:type="dxa"/>
            <w:tcBorders>
              <w:top w:val="nil"/>
              <w:left w:val="nil"/>
              <w:bottom w:val="nil"/>
              <w:right w:val="nil"/>
            </w:tcBorders>
          </w:tcPr>
          <w:p w:rsidR="00B125E2" w:rsidRPr="00E22970" w:rsidRDefault="00B125E2" w:rsidP="00675F9D">
            <w:pPr>
              <w:jc w:val="right"/>
              <w:rPr>
                <w:sz w:val="18"/>
                <w:szCs w:val="18"/>
              </w:rPr>
            </w:pPr>
          </w:p>
        </w:tc>
        <w:tc>
          <w:tcPr>
            <w:tcW w:w="1153" w:type="dxa"/>
            <w:tcBorders>
              <w:top w:val="nil"/>
              <w:left w:val="nil"/>
              <w:bottom w:val="nil"/>
              <w:right w:val="nil"/>
            </w:tcBorders>
          </w:tcPr>
          <w:p w:rsidR="00B125E2" w:rsidRPr="00E22970" w:rsidRDefault="00B125E2" w:rsidP="00675F9D">
            <w:pPr>
              <w:jc w:val="right"/>
              <w:rPr>
                <w:sz w:val="18"/>
                <w:szCs w:val="18"/>
              </w:rPr>
            </w:pP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jc w:val="right"/>
              <w:rPr>
                <w:sz w:val="18"/>
                <w:szCs w:val="18"/>
              </w:rPr>
            </w:pPr>
          </w:p>
        </w:tc>
      </w:tr>
      <w:tr w:rsidR="00B125E2" w:rsidRPr="00E22970" w:rsidTr="00240F53">
        <w:trPr>
          <w:trHeight w:val="269"/>
          <w:jc w:val="center"/>
        </w:trPr>
        <w:tc>
          <w:tcPr>
            <w:tcW w:w="1283" w:type="dxa"/>
            <w:tcBorders>
              <w:top w:val="nil"/>
              <w:left w:val="nil"/>
              <w:bottom w:val="nil"/>
              <w:right w:val="nil"/>
            </w:tcBorders>
            <w:vAlign w:val="center"/>
          </w:tcPr>
          <w:p w:rsidR="00B125E2" w:rsidRPr="00E22970" w:rsidRDefault="00B125E2" w:rsidP="00B125E2">
            <w:pPr>
              <w:pStyle w:val="NoSpacing"/>
              <w:ind w:left="229"/>
              <w:rPr>
                <w:sz w:val="18"/>
                <w:szCs w:val="18"/>
              </w:rPr>
            </w:pPr>
          </w:p>
        </w:tc>
        <w:tc>
          <w:tcPr>
            <w:tcW w:w="1012" w:type="dxa"/>
            <w:tcBorders>
              <w:top w:val="nil"/>
              <w:left w:val="nil"/>
              <w:bottom w:val="nil"/>
              <w:right w:val="nil"/>
            </w:tcBorders>
          </w:tcPr>
          <w:p w:rsidR="00B125E2" w:rsidRPr="00B125E2" w:rsidRDefault="00B125E2" w:rsidP="00675F9D">
            <w:pPr>
              <w:rPr>
                <w:sz w:val="18"/>
                <w:szCs w:val="18"/>
              </w:rPr>
            </w:pPr>
            <w:r w:rsidRPr="00B125E2">
              <w:rPr>
                <w:sz w:val="18"/>
                <w:szCs w:val="18"/>
              </w:rPr>
              <w:t>2006</w:t>
            </w:r>
          </w:p>
        </w:tc>
        <w:tc>
          <w:tcPr>
            <w:tcW w:w="1078" w:type="dxa"/>
            <w:tcBorders>
              <w:top w:val="nil"/>
              <w:left w:val="nil"/>
              <w:bottom w:val="nil"/>
              <w:right w:val="nil"/>
            </w:tcBorders>
          </w:tcPr>
          <w:p w:rsidR="00B125E2" w:rsidRPr="00E22970" w:rsidRDefault="00B125E2" w:rsidP="00675F9D">
            <w:pPr>
              <w:jc w:val="center"/>
              <w:rPr>
                <w:sz w:val="18"/>
                <w:szCs w:val="18"/>
              </w:rPr>
            </w:pPr>
            <w:r w:rsidRPr="00E22970">
              <w:rPr>
                <w:sz w:val="18"/>
                <w:szCs w:val="18"/>
              </w:rPr>
              <w:t>n = 206</w:t>
            </w:r>
          </w:p>
        </w:tc>
        <w:tc>
          <w:tcPr>
            <w:tcW w:w="1467" w:type="dxa"/>
            <w:tcBorders>
              <w:top w:val="nil"/>
              <w:left w:val="nil"/>
              <w:bottom w:val="nil"/>
              <w:right w:val="nil"/>
            </w:tcBorders>
          </w:tcPr>
          <w:p w:rsidR="00B125E2" w:rsidRPr="00E22970" w:rsidRDefault="00B125E2" w:rsidP="00675F9D">
            <w:pPr>
              <w:jc w:val="right"/>
              <w:rPr>
                <w:sz w:val="18"/>
                <w:szCs w:val="18"/>
              </w:rPr>
            </w:pPr>
            <w:r w:rsidRPr="00E22970">
              <w:rPr>
                <w:sz w:val="18"/>
                <w:szCs w:val="18"/>
              </w:rPr>
              <w:t>20 (9.7)</w:t>
            </w:r>
          </w:p>
        </w:tc>
        <w:tc>
          <w:tcPr>
            <w:tcW w:w="1153" w:type="dxa"/>
            <w:tcBorders>
              <w:top w:val="nil"/>
              <w:left w:val="nil"/>
              <w:bottom w:val="nil"/>
              <w:right w:val="nil"/>
            </w:tcBorders>
            <w:vAlign w:val="center"/>
          </w:tcPr>
          <w:p w:rsidR="00B125E2" w:rsidRPr="00E22970" w:rsidRDefault="00B125E2" w:rsidP="00675F9D">
            <w:pPr>
              <w:jc w:val="right"/>
              <w:rPr>
                <w:sz w:val="18"/>
                <w:szCs w:val="18"/>
              </w:rPr>
            </w:pPr>
            <w:r w:rsidRPr="00E22970">
              <w:rPr>
                <w:sz w:val="18"/>
                <w:szCs w:val="18"/>
              </w:rPr>
              <w:t>29 (14.1)</w:t>
            </w: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jc w:val="right"/>
              <w:rPr>
                <w:sz w:val="18"/>
                <w:szCs w:val="18"/>
              </w:rPr>
            </w:pPr>
          </w:p>
        </w:tc>
      </w:tr>
      <w:tr w:rsidR="00B125E2" w:rsidRPr="00E22970" w:rsidTr="00240F53">
        <w:trPr>
          <w:trHeight w:val="286"/>
          <w:jc w:val="center"/>
        </w:trPr>
        <w:tc>
          <w:tcPr>
            <w:tcW w:w="1283" w:type="dxa"/>
            <w:tcBorders>
              <w:top w:val="nil"/>
              <w:left w:val="nil"/>
              <w:bottom w:val="nil"/>
              <w:right w:val="nil"/>
            </w:tcBorders>
            <w:vAlign w:val="center"/>
          </w:tcPr>
          <w:p w:rsidR="00B125E2" w:rsidRPr="00E22970" w:rsidRDefault="00B125E2" w:rsidP="00B125E2">
            <w:pPr>
              <w:pStyle w:val="NoSpacing"/>
              <w:ind w:left="229"/>
              <w:rPr>
                <w:sz w:val="18"/>
                <w:szCs w:val="18"/>
              </w:rPr>
            </w:pPr>
          </w:p>
        </w:tc>
        <w:tc>
          <w:tcPr>
            <w:tcW w:w="1012" w:type="dxa"/>
            <w:tcBorders>
              <w:top w:val="nil"/>
              <w:left w:val="nil"/>
              <w:bottom w:val="nil"/>
              <w:right w:val="nil"/>
            </w:tcBorders>
          </w:tcPr>
          <w:p w:rsidR="00B125E2" w:rsidRPr="00B125E2" w:rsidRDefault="00B125E2" w:rsidP="00675F9D">
            <w:pPr>
              <w:rPr>
                <w:sz w:val="18"/>
                <w:szCs w:val="18"/>
              </w:rPr>
            </w:pPr>
            <w:r w:rsidRPr="00B125E2">
              <w:rPr>
                <w:sz w:val="18"/>
                <w:szCs w:val="18"/>
              </w:rPr>
              <w:t>2009/10</w:t>
            </w:r>
          </w:p>
        </w:tc>
        <w:tc>
          <w:tcPr>
            <w:tcW w:w="1078" w:type="dxa"/>
            <w:tcBorders>
              <w:top w:val="nil"/>
              <w:left w:val="nil"/>
              <w:bottom w:val="nil"/>
              <w:right w:val="nil"/>
            </w:tcBorders>
          </w:tcPr>
          <w:p w:rsidR="00B125E2" w:rsidRPr="00E22970" w:rsidRDefault="00B125E2" w:rsidP="00675F9D">
            <w:pPr>
              <w:jc w:val="center"/>
              <w:rPr>
                <w:sz w:val="18"/>
                <w:szCs w:val="18"/>
              </w:rPr>
            </w:pPr>
            <w:r w:rsidRPr="00E22970">
              <w:rPr>
                <w:sz w:val="18"/>
                <w:szCs w:val="18"/>
              </w:rPr>
              <w:t>n = 180</w:t>
            </w:r>
          </w:p>
        </w:tc>
        <w:tc>
          <w:tcPr>
            <w:tcW w:w="1467" w:type="dxa"/>
            <w:tcBorders>
              <w:top w:val="nil"/>
              <w:left w:val="nil"/>
              <w:bottom w:val="nil"/>
              <w:right w:val="nil"/>
            </w:tcBorders>
            <w:vAlign w:val="center"/>
          </w:tcPr>
          <w:p w:rsidR="00B125E2" w:rsidRPr="00E22970" w:rsidRDefault="00B125E2" w:rsidP="00675F9D">
            <w:pPr>
              <w:jc w:val="right"/>
              <w:rPr>
                <w:sz w:val="18"/>
                <w:szCs w:val="18"/>
              </w:rPr>
            </w:pPr>
            <w:r w:rsidRPr="00E22970">
              <w:rPr>
                <w:sz w:val="18"/>
                <w:szCs w:val="18"/>
              </w:rPr>
              <w:t>39 (21.7)</w:t>
            </w:r>
          </w:p>
        </w:tc>
        <w:tc>
          <w:tcPr>
            <w:tcW w:w="1153" w:type="dxa"/>
            <w:tcBorders>
              <w:top w:val="nil"/>
              <w:left w:val="nil"/>
              <w:bottom w:val="nil"/>
              <w:right w:val="nil"/>
            </w:tcBorders>
            <w:vAlign w:val="center"/>
          </w:tcPr>
          <w:p w:rsidR="00B125E2" w:rsidRPr="00E22970" w:rsidRDefault="00B125E2" w:rsidP="00675F9D">
            <w:pPr>
              <w:jc w:val="right"/>
              <w:rPr>
                <w:sz w:val="18"/>
                <w:szCs w:val="18"/>
              </w:rPr>
            </w:pPr>
            <w:r w:rsidRPr="00E22970">
              <w:rPr>
                <w:sz w:val="18"/>
                <w:szCs w:val="18"/>
              </w:rPr>
              <w:t>35 (19.4)</w:t>
            </w: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jc w:val="right"/>
              <w:rPr>
                <w:sz w:val="18"/>
                <w:szCs w:val="18"/>
              </w:rPr>
            </w:pPr>
          </w:p>
        </w:tc>
      </w:tr>
      <w:tr w:rsidR="00B125E2" w:rsidRPr="00E22970" w:rsidTr="00240F53">
        <w:trPr>
          <w:trHeight w:val="286"/>
          <w:jc w:val="center"/>
        </w:trPr>
        <w:tc>
          <w:tcPr>
            <w:tcW w:w="1283" w:type="dxa"/>
            <w:tcBorders>
              <w:top w:val="nil"/>
              <w:left w:val="nil"/>
              <w:bottom w:val="nil"/>
              <w:right w:val="nil"/>
            </w:tcBorders>
            <w:vAlign w:val="center"/>
          </w:tcPr>
          <w:p w:rsidR="00B125E2" w:rsidRPr="00E22970" w:rsidRDefault="00B125E2" w:rsidP="00B125E2">
            <w:pPr>
              <w:pStyle w:val="NoSpacing"/>
              <w:ind w:left="229"/>
              <w:rPr>
                <w:sz w:val="18"/>
                <w:szCs w:val="18"/>
              </w:rPr>
            </w:pPr>
          </w:p>
        </w:tc>
        <w:tc>
          <w:tcPr>
            <w:tcW w:w="1012" w:type="dxa"/>
            <w:tcBorders>
              <w:top w:val="nil"/>
              <w:left w:val="nil"/>
              <w:bottom w:val="nil"/>
              <w:right w:val="nil"/>
            </w:tcBorders>
          </w:tcPr>
          <w:p w:rsidR="00B125E2" w:rsidRPr="00B125E2" w:rsidRDefault="00B125E2" w:rsidP="00675F9D">
            <w:pPr>
              <w:rPr>
                <w:sz w:val="18"/>
                <w:szCs w:val="18"/>
              </w:rPr>
            </w:pPr>
          </w:p>
        </w:tc>
        <w:tc>
          <w:tcPr>
            <w:tcW w:w="1078" w:type="dxa"/>
            <w:tcBorders>
              <w:top w:val="nil"/>
              <w:left w:val="nil"/>
              <w:bottom w:val="nil"/>
              <w:right w:val="nil"/>
            </w:tcBorders>
          </w:tcPr>
          <w:p w:rsidR="00B125E2" w:rsidRPr="00E22970" w:rsidRDefault="00B125E2" w:rsidP="00675F9D">
            <w:pPr>
              <w:jc w:val="center"/>
              <w:rPr>
                <w:sz w:val="18"/>
                <w:szCs w:val="18"/>
              </w:rPr>
            </w:pPr>
          </w:p>
        </w:tc>
        <w:tc>
          <w:tcPr>
            <w:tcW w:w="1467" w:type="dxa"/>
            <w:tcBorders>
              <w:top w:val="nil"/>
              <w:left w:val="nil"/>
              <w:bottom w:val="nil"/>
              <w:right w:val="nil"/>
            </w:tcBorders>
          </w:tcPr>
          <w:p w:rsidR="00B125E2" w:rsidRPr="00E22970" w:rsidRDefault="00B125E2" w:rsidP="00675F9D">
            <w:pPr>
              <w:jc w:val="right"/>
              <w:rPr>
                <w:sz w:val="18"/>
                <w:szCs w:val="18"/>
              </w:rPr>
            </w:pPr>
          </w:p>
        </w:tc>
        <w:tc>
          <w:tcPr>
            <w:tcW w:w="1153" w:type="dxa"/>
            <w:tcBorders>
              <w:top w:val="nil"/>
              <w:left w:val="nil"/>
              <w:bottom w:val="nil"/>
              <w:right w:val="nil"/>
            </w:tcBorders>
            <w:vAlign w:val="center"/>
          </w:tcPr>
          <w:p w:rsidR="00B125E2" w:rsidRPr="00E22970" w:rsidRDefault="00B125E2" w:rsidP="00675F9D">
            <w:pPr>
              <w:jc w:val="right"/>
              <w:rPr>
                <w:sz w:val="18"/>
                <w:szCs w:val="18"/>
              </w:rPr>
            </w:pP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jc w:val="right"/>
              <w:rPr>
                <w:sz w:val="18"/>
                <w:szCs w:val="18"/>
              </w:rPr>
            </w:pPr>
          </w:p>
        </w:tc>
      </w:tr>
      <w:tr w:rsidR="00B125E2" w:rsidRPr="00E22970" w:rsidTr="00240F53">
        <w:trPr>
          <w:trHeight w:val="286"/>
          <w:jc w:val="center"/>
        </w:trPr>
        <w:tc>
          <w:tcPr>
            <w:tcW w:w="1283" w:type="dxa"/>
            <w:tcBorders>
              <w:top w:val="nil"/>
              <w:left w:val="nil"/>
              <w:bottom w:val="nil"/>
              <w:right w:val="nil"/>
            </w:tcBorders>
            <w:vAlign w:val="center"/>
          </w:tcPr>
          <w:p w:rsidR="00B125E2" w:rsidRPr="00E22970" w:rsidRDefault="00B125E2" w:rsidP="00B125E2">
            <w:pPr>
              <w:pStyle w:val="NoSpacing"/>
              <w:ind w:left="229"/>
              <w:rPr>
                <w:sz w:val="18"/>
                <w:szCs w:val="18"/>
              </w:rPr>
            </w:pPr>
            <w:r w:rsidRPr="00E22970">
              <w:rPr>
                <w:sz w:val="18"/>
                <w:szCs w:val="18"/>
              </w:rPr>
              <w:t xml:space="preserve">Private </w:t>
            </w:r>
          </w:p>
        </w:tc>
        <w:tc>
          <w:tcPr>
            <w:tcW w:w="1012" w:type="dxa"/>
            <w:tcBorders>
              <w:top w:val="nil"/>
              <w:left w:val="nil"/>
              <w:bottom w:val="nil"/>
              <w:right w:val="nil"/>
            </w:tcBorders>
          </w:tcPr>
          <w:p w:rsidR="00B125E2" w:rsidRPr="00B125E2" w:rsidRDefault="00B125E2" w:rsidP="00675F9D">
            <w:pPr>
              <w:rPr>
                <w:sz w:val="18"/>
                <w:szCs w:val="18"/>
              </w:rPr>
            </w:pPr>
            <w:r w:rsidRPr="00B125E2">
              <w:rPr>
                <w:sz w:val="18"/>
                <w:szCs w:val="18"/>
              </w:rPr>
              <w:t>2006</w:t>
            </w:r>
          </w:p>
        </w:tc>
        <w:tc>
          <w:tcPr>
            <w:tcW w:w="1078" w:type="dxa"/>
            <w:tcBorders>
              <w:top w:val="nil"/>
              <w:left w:val="nil"/>
              <w:bottom w:val="nil"/>
              <w:right w:val="nil"/>
            </w:tcBorders>
          </w:tcPr>
          <w:p w:rsidR="00B125E2" w:rsidRPr="00E22970" w:rsidRDefault="00B125E2" w:rsidP="00675F9D">
            <w:pPr>
              <w:jc w:val="center"/>
              <w:rPr>
                <w:sz w:val="18"/>
                <w:szCs w:val="18"/>
              </w:rPr>
            </w:pPr>
            <w:r w:rsidRPr="00E22970">
              <w:rPr>
                <w:sz w:val="18"/>
                <w:szCs w:val="18"/>
              </w:rPr>
              <w:t>n = 148</w:t>
            </w:r>
          </w:p>
        </w:tc>
        <w:tc>
          <w:tcPr>
            <w:tcW w:w="1467" w:type="dxa"/>
            <w:tcBorders>
              <w:top w:val="nil"/>
              <w:left w:val="nil"/>
              <w:bottom w:val="nil"/>
              <w:right w:val="nil"/>
            </w:tcBorders>
          </w:tcPr>
          <w:p w:rsidR="00B125E2" w:rsidRPr="00E22970" w:rsidRDefault="00B125E2" w:rsidP="00675F9D">
            <w:pPr>
              <w:jc w:val="right"/>
              <w:rPr>
                <w:sz w:val="18"/>
                <w:szCs w:val="18"/>
              </w:rPr>
            </w:pPr>
            <w:r w:rsidRPr="00E22970">
              <w:rPr>
                <w:sz w:val="18"/>
                <w:szCs w:val="18"/>
              </w:rPr>
              <w:t>21 (14.2)</w:t>
            </w:r>
          </w:p>
        </w:tc>
        <w:tc>
          <w:tcPr>
            <w:tcW w:w="1153" w:type="dxa"/>
            <w:tcBorders>
              <w:top w:val="nil"/>
              <w:left w:val="nil"/>
              <w:bottom w:val="nil"/>
              <w:right w:val="nil"/>
            </w:tcBorders>
            <w:vAlign w:val="center"/>
          </w:tcPr>
          <w:p w:rsidR="00B125E2" w:rsidRPr="00E22970" w:rsidRDefault="00B125E2" w:rsidP="00675F9D">
            <w:pPr>
              <w:jc w:val="right"/>
              <w:rPr>
                <w:sz w:val="18"/>
                <w:szCs w:val="18"/>
              </w:rPr>
            </w:pPr>
            <w:r w:rsidRPr="00E22970">
              <w:rPr>
                <w:sz w:val="18"/>
                <w:szCs w:val="18"/>
              </w:rPr>
              <w:t>14 (9.5)</w:t>
            </w:r>
          </w:p>
        </w:tc>
        <w:tc>
          <w:tcPr>
            <w:tcW w:w="1274" w:type="dxa"/>
            <w:tcBorders>
              <w:top w:val="nil"/>
              <w:left w:val="nil"/>
              <w:bottom w:val="nil"/>
              <w:right w:val="nil"/>
            </w:tcBorders>
          </w:tcPr>
          <w:p w:rsidR="00B125E2" w:rsidRPr="00E22970" w:rsidRDefault="00B125E2" w:rsidP="00675F9D">
            <w:pPr>
              <w:jc w:val="right"/>
              <w:rPr>
                <w:b/>
                <w:sz w:val="18"/>
                <w:szCs w:val="18"/>
              </w:rPr>
            </w:pPr>
          </w:p>
        </w:tc>
        <w:tc>
          <w:tcPr>
            <w:tcW w:w="1000" w:type="dxa"/>
            <w:tcBorders>
              <w:top w:val="nil"/>
              <w:left w:val="nil"/>
              <w:bottom w:val="nil"/>
              <w:right w:val="nil"/>
            </w:tcBorders>
          </w:tcPr>
          <w:p w:rsidR="00B125E2" w:rsidRPr="00E22970" w:rsidRDefault="00B125E2" w:rsidP="00675F9D">
            <w:pPr>
              <w:jc w:val="right"/>
              <w:rPr>
                <w:sz w:val="18"/>
                <w:szCs w:val="18"/>
              </w:rPr>
            </w:pPr>
          </w:p>
        </w:tc>
      </w:tr>
      <w:tr w:rsidR="00B125E2" w:rsidRPr="00E22970" w:rsidTr="00240F53">
        <w:trPr>
          <w:trHeight w:val="286"/>
          <w:jc w:val="center"/>
        </w:trPr>
        <w:tc>
          <w:tcPr>
            <w:tcW w:w="1283" w:type="dxa"/>
            <w:tcBorders>
              <w:top w:val="nil"/>
              <w:left w:val="nil"/>
              <w:right w:val="nil"/>
            </w:tcBorders>
            <w:vAlign w:val="center"/>
          </w:tcPr>
          <w:p w:rsidR="00B125E2" w:rsidRPr="00E22970" w:rsidRDefault="00B125E2" w:rsidP="00675F9D">
            <w:pPr>
              <w:pStyle w:val="NoSpacing"/>
              <w:jc w:val="center"/>
              <w:rPr>
                <w:sz w:val="18"/>
                <w:szCs w:val="18"/>
              </w:rPr>
            </w:pPr>
          </w:p>
        </w:tc>
        <w:tc>
          <w:tcPr>
            <w:tcW w:w="1012" w:type="dxa"/>
            <w:tcBorders>
              <w:top w:val="nil"/>
              <w:left w:val="nil"/>
              <w:right w:val="nil"/>
            </w:tcBorders>
          </w:tcPr>
          <w:p w:rsidR="00B125E2" w:rsidRPr="00B125E2" w:rsidRDefault="00B125E2" w:rsidP="00675F9D">
            <w:pPr>
              <w:rPr>
                <w:sz w:val="18"/>
                <w:szCs w:val="18"/>
              </w:rPr>
            </w:pPr>
            <w:r w:rsidRPr="00B125E2">
              <w:rPr>
                <w:sz w:val="18"/>
                <w:szCs w:val="18"/>
              </w:rPr>
              <w:t>2009/10</w:t>
            </w:r>
          </w:p>
        </w:tc>
        <w:tc>
          <w:tcPr>
            <w:tcW w:w="1078" w:type="dxa"/>
            <w:tcBorders>
              <w:top w:val="nil"/>
              <w:left w:val="nil"/>
              <w:right w:val="nil"/>
            </w:tcBorders>
          </w:tcPr>
          <w:p w:rsidR="00B125E2" w:rsidRPr="00E22970" w:rsidRDefault="00B125E2" w:rsidP="00675F9D">
            <w:pPr>
              <w:jc w:val="center"/>
              <w:rPr>
                <w:sz w:val="18"/>
                <w:szCs w:val="18"/>
              </w:rPr>
            </w:pPr>
            <w:r w:rsidRPr="00E22970">
              <w:rPr>
                <w:sz w:val="18"/>
                <w:szCs w:val="18"/>
              </w:rPr>
              <w:t>n = 233</w:t>
            </w:r>
          </w:p>
        </w:tc>
        <w:tc>
          <w:tcPr>
            <w:tcW w:w="1467" w:type="dxa"/>
            <w:tcBorders>
              <w:top w:val="nil"/>
              <w:left w:val="nil"/>
              <w:right w:val="nil"/>
            </w:tcBorders>
            <w:vAlign w:val="center"/>
          </w:tcPr>
          <w:p w:rsidR="00B125E2" w:rsidRPr="00E22970" w:rsidRDefault="00B125E2" w:rsidP="00675F9D">
            <w:pPr>
              <w:jc w:val="right"/>
              <w:rPr>
                <w:sz w:val="18"/>
                <w:szCs w:val="18"/>
              </w:rPr>
            </w:pPr>
            <w:r w:rsidRPr="00E22970">
              <w:rPr>
                <w:sz w:val="18"/>
                <w:szCs w:val="18"/>
              </w:rPr>
              <w:t>37 (15.9)</w:t>
            </w:r>
          </w:p>
        </w:tc>
        <w:tc>
          <w:tcPr>
            <w:tcW w:w="1153" w:type="dxa"/>
            <w:tcBorders>
              <w:top w:val="nil"/>
              <w:left w:val="nil"/>
              <w:right w:val="nil"/>
            </w:tcBorders>
            <w:vAlign w:val="center"/>
          </w:tcPr>
          <w:p w:rsidR="00B125E2" w:rsidRPr="00E22970" w:rsidRDefault="00B125E2" w:rsidP="00675F9D">
            <w:pPr>
              <w:jc w:val="right"/>
              <w:rPr>
                <w:sz w:val="18"/>
                <w:szCs w:val="18"/>
              </w:rPr>
            </w:pPr>
            <w:r w:rsidRPr="00E22970">
              <w:rPr>
                <w:sz w:val="18"/>
                <w:szCs w:val="18"/>
              </w:rPr>
              <w:t>21 (9.0)</w:t>
            </w:r>
          </w:p>
        </w:tc>
        <w:tc>
          <w:tcPr>
            <w:tcW w:w="1274" w:type="dxa"/>
            <w:tcBorders>
              <w:top w:val="nil"/>
              <w:left w:val="nil"/>
              <w:right w:val="nil"/>
            </w:tcBorders>
          </w:tcPr>
          <w:p w:rsidR="00B125E2" w:rsidRPr="00E22970" w:rsidRDefault="00B125E2" w:rsidP="00675F9D">
            <w:pPr>
              <w:jc w:val="right"/>
              <w:rPr>
                <w:sz w:val="18"/>
                <w:szCs w:val="18"/>
              </w:rPr>
            </w:pPr>
          </w:p>
        </w:tc>
        <w:tc>
          <w:tcPr>
            <w:tcW w:w="1000" w:type="dxa"/>
            <w:tcBorders>
              <w:top w:val="nil"/>
              <w:left w:val="nil"/>
              <w:right w:val="nil"/>
            </w:tcBorders>
          </w:tcPr>
          <w:p w:rsidR="00B125E2" w:rsidRPr="00E22970" w:rsidRDefault="00B125E2" w:rsidP="00675F9D">
            <w:pPr>
              <w:jc w:val="right"/>
              <w:rPr>
                <w:sz w:val="18"/>
                <w:szCs w:val="18"/>
              </w:rPr>
            </w:pPr>
          </w:p>
        </w:tc>
      </w:tr>
    </w:tbl>
    <w:p w:rsidR="00B125E2" w:rsidRPr="00E22970" w:rsidRDefault="00B125E2" w:rsidP="00B125E2">
      <w:pPr>
        <w:pStyle w:val="ListParagraph"/>
        <w:ind w:left="540"/>
        <w:rPr>
          <w:sz w:val="18"/>
          <w:szCs w:val="18"/>
        </w:rPr>
      </w:pPr>
      <w:r w:rsidRPr="00E22970">
        <w:rPr>
          <w:sz w:val="18"/>
          <w:szCs w:val="18"/>
        </w:rPr>
        <w:t xml:space="preserve">Logistic model includes the covariate, year, and the covariate </w:t>
      </w:r>
      <w:r w:rsidR="00394F34">
        <w:rPr>
          <w:sz w:val="18"/>
          <w:szCs w:val="18"/>
        </w:rPr>
        <w:t>by year as an interaction term.</w:t>
      </w:r>
    </w:p>
    <w:p w:rsidR="00B125E2" w:rsidRPr="00E22970" w:rsidRDefault="00B125E2" w:rsidP="00B125E2">
      <w:pPr>
        <w:pStyle w:val="ListParagraph"/>
        <w:ind w:left="540"/>
        <w:rPr>
          <w:sz w:val="18"/>
          <w:szCs w:val="18"/>
        </w:rPr>
      </w:pPr>
      <w:r w:rsidRPr="00E22970">
        <w:rPr>
          <w:sz w:val="18"/>
          <w:szCs w:val="18"/>
        </w:rPr>
        <w:t>The p-value for year is reported only one time.</w:t>
      </w:r>
    </w:p>
    <w:p w:rsidR="00B125E2" w:rsidRPr="00E22970" w:rsidRDefault="00B125E2" w:rsidP="00B125E2">
      <w:pPr>
        <w:pStyle w:val="ListParagraph"/>
        <w:ind w:left="540"/>
        <w:rPr>
          <w:sz w:val="18"/>
          <w:szCs w:val="18"/>
        </w:rPr>
      </w:pPr>
      <w:r w:rsidRPr="00E22970">
        <w:rPr>
          <w:b/>
          <w:sz w:val="18"/>
          <w:szCs w:val="18"/>
        </w:rPr>
        <w:t>†</w:t>
      </w:r>
      <w:r w:rsidRPr="00E22970">
        <w:rPr>
          <w:sz w:val="18"/>
          <w:szCs w:val="18"/>
        </w:rPr>
        <w:t xml:space="preserve"> indicates p-value for covariate </w:t>
      </w:r>
    </w:p>
    <w:p w:rsidR="00B125E2" w:rsidRPr="00E22970" w:rsidRDefault="00B125E2" w:rsidP="00B125E2">
      <w:pPr>
        <w:pStyle w:val="ListParagraph"/>
        <w:ind w:left="540"/>
        <w:rPr>
          <w:sz w:val="18"/>
          <w:szCs w:val="18"/>
        </w:rPr>
      </w:pPr>
      <w:r w:rsidRPr="00E22970">
        <w:rPr>
          <w:b/>
          <w:sz w:val="18"/>
          <w:szCs w:val="18"/>
        </w:rPr>
        <w:t>‡</w:t>
      </w:r>
      <w:r w:rsidRPr="00E22970">
        <w:rPr>
          <w:sz w:val="18"/>
          <w:szCs w:val="18"/>
        </w:rPr>
        <w:t xml:space="preserve"> indicates p-value for covariate by year interaction</w:t>
      </w:r>
    </w:p>
    <w:p w:rsidR="00B125E2" w:rsidRDefault="00B125E2" w:rsidP="00A64765">
      <w:pPr>
        <w:contextualSpacing/>
        <w:jc w:val="both"/>
        <w:rPr>
          <w:sz w:val="22"/>
          <w:szCs w:val="22"/>
        </w:rPr>
        <w:sectPr w:rsidR="00B125E2" w:rsidSect="00B125E2">
          <w:type w:val="continuous"/>
          <w:pgSz w:w="12240" w:h="15840"/>
          <w:pgMar w:top="1440" w:right="1440" w:bottom="1440" w:left="1440" w:header="720" w:footer="720" w:gutter="0"/>
          <w:cols w:space="720"/>
          <w:docGrid w:linePitch="360"/>
        </w:sectPr>
      </w:pPr>
    </w:p>
    <w:p w:rsidR="00B125E2" w:rsidRDefault="00B125E2" w:rsidP="00A64765">
      <w:pPr>
        <w:contextualSpacing/>
        <w:jc w:val="both"/>
        <w:rPr>
          <w:sz w:val="22"/>
          <w:szCs w:val="22"/>
        </w:rPr>
      </w:pPr>
    </w:p>
    <w:p w:rsidR="00B125E2" w:rsidRDefault="00B125E2" w:rsidP="00A64765">
      <w:pPr>
        <w:contextualSpacing/>
        <w:jc w:val="both"/>
        <w:rPr>
          <w:sz w:val="22"/>
          <w:szCs w:val="22"/>
        </w:rPr>
        <w:sectPr w:rsidR="00B125E2" w:rsidSect="00A64765">
          <w:type w:val="continuous"/>
          <w:pgSz w:w="12240" w:h="15840"/>
          <w:pgMar w:top="1440" w:right="1440" w:bottom="1440" w:left="1440" w:header="720" w:footer="720" w:gutter="0"/>
          <w:cols w:num="2" w:space="720"/>
          <w:docGrid w:linePitch="360"/>
        </w:sectPr>
      </w:pPr>
    </w:p>
    <w:p w:rsidR="00A64765" w:rsidRDefault="00A64765" w:rsidP="00A64765">
      <w:pPr>
        <w:contextualSpacing/>
        <w:jc w:val="both"/>
        <w:rPr>
          <w:sz w:val="22"/>
          <w:szCs w:val="22"/>
        </w:rPr>
      </w:pPr>
      <w:proofErr w:type="gramStart"/>
      <w:r w:rsidRPr="00A64765">
        <w:rPr>
          <w:sz w:val="22"/>
          <w:szCs w:val="22"/>
        </w:rPr>
        <w:lastRenderedPageBreak/>
        <w:t>ethnicity</w:t>
      </w:r>
      <w:proofErr w:type="gramEnd"/>
      <w:r w:rsidRPr="00A64765">
        <w:rPr>
          <w:sz w:val="22"/>
          <w:szCs w:val="22"/>
        </w:rPr>
        <w:t>, type of preschool), which included year and the covariate by year interaction. Model terms with p-values less than 0.05 were considered significant.</w:t>
      </w:r>
    </w:p>
    <w:p w:rsidR="0076014E" w:rsidRPr="00A64765" w:rsidRDefault="0076014E" w:rsidP="00A64765">
      <w:pPr>
        <w:contextualSpacing/>
        <w:jc w:val="both"/>
        <w:rPr>
          <w:b/>
          <w:sz w:val="22"/>
          <w:szCs w:val="22"/>
        </w:rPr>
      </w:pPr>
    </w:p>
    <w:p w:rsidR="00A64765" w:rsidRDefault="00A64765" w:rsidP="0076014E">
      <w:pPr>
        <w:jc w:val="center"/>
        <w:rPr>
          <w:b/>
          <w:sz w:val="22"/>
          <w:szCs w:val="22"/>
        </w:rPr>
      </w:pPr>
      <w:r w:rsidRPr="00A64765">
        <w:rPr>
          <w:b/>
          <w:sz w:val="22"/>
          <w:szCs w:val="22"/>
        </w:rPr>
        <w:t>Results</w:t>
      </w:r>
    </w:p>
    <w:p w:rsidR="0076014E" w:rsidRPr="00A64765" w:rsidRDefault="0076014E" w:rsidP="0076014E">
      <w:pPr>
        <w:jc w:val="center"/>
        <w:rPr>
          <w:b/>
          <w:sz w:val="22"/>
          <w:szCs w:val="22"/>
        </w:rPr>
      </w:pPr>
    </w:p>
    <w:p w:rsidR="00394F34" w:rsidRDefault="00A64765" w:rsidP="00A64765">
      <w:pPr>
        <w:contextualSpacing/>
        <w:jc w:val="both"/>
        <w:rPr>
          <w:sz w:val="22"/>
          <w:szCs w:val="22"/>
        </w:rPr>
      </w:pPr>
      <w:r w:rsidRPr="00A64765">
        <w:rPr>
          <w:sz w:val="22"/>
          <w:szCs w:val="22"/>
        </w:rPr>
        <w:t xml:space="preserve">Demographic characteristics of the sample and BMI classifications (overweight and obese) by year and covariate are shown in Table 1. The </w:t>
      </w:r>
    </w:p>
    <w:p w:rsidR="00394F34" w:rsidRDefault="00A64765" w:rsidP="00A64765">
      <w:pPr>
        <w:contextualSpacing/>
        <w:jc w:val="both"/>
        <w:rPr>
          <w:sz w:val="22"/>
          <w:szCs w:val="22"/>
        </w:rPr>
      </w:pPr>
      <w:proofErr w:type="gramStart"/>
      <w:r w:rsidRPr="00A64765">
        <w:rPr>
          <w:sz w:val="22"/>
          <w:szCs w:val="22"/>
        </w:rPr>
        <w:lastRenderedPageBreak/>
        <w:t>mean</w:t>
      </w:r>
      <w:proofErr w:type="gramEnd"/>
      <w:r w:rsidRPr="00A64765">
        <w:rPr>
          <w:sz w:val="22"/>
          <w:szCs w:val="22"/>
        </w:rPr>
        <w:t xml:space="preserve"> age of children in the sample was 4.1 years (± 0.70).  In 2006, 26.4% (n = 482) of children were OW/OB and in 2009/10, 34.8% (n = 559) were OW/OB (p = 0.007).  Forty-nine percent of surveyed children were girls and 51% boys, with 53% Hispanic and 47% Caucasian children.  Approximately 37% of children in the study attended California State preschools, 37% attended private preschools while 26% attended Head Start preschools.  Seventy-eight percent, </w:t>
      </w:r>
    </w:p>
    <w:p w:rsidR="00394F34" w:rsidRDefault="00394F34" w:rsidP="00A64765">
      <w:pPr>
        <w:contextualSpacing/>
        <w:jc w:val="both"/>
        <w:rPr>
          <w:sz w:val="22"/>
          <w:szCs w:val="22"/>
        </w:rPr>
        <w:sectPr w:rsidR="00394F34" w:rsidSect="00A64765">
          <w:type w:val="continuous"/>
          <w:pgSz w:w="12240" w:h="15840"/>
          <w:pgMar w:top="1440" w:right="1440" w:bottom="1440" w:left="1440" w:header="720" w:footer="720" w:gutter="0"/>
          <w:cols w:num="2" w:space="720"/>
          <w:docGrid w:linePitch="360"/>
        </w:sectPr>
      </w:pPr>
    </w:p>
    <w:p w:rsidR="00394F34" w:rsidRDefault="00394F34" w:rsidP="00A64765">
      <w:pPr>
        <w:contextualSpacing/>
        <w:jc w:val="both"/>
        <w:rPr>
          <w:sz w:val="22"/>
          <w:szCs w:val="22"/>
        </w:rPr>
      </w:pPr>
    </w:p>
    <w:p w:rsidR="00394F34" w:rsidRDefault="00394F34" w:rsidP="00A64765">
      <w:pPr>
        <w:contextualSpacing/>
        <w:jc w:val="both"/>
        <w:rPr>
          <w:sz w:val="22"/>
          <w:szCs w:val="22"/>
        </w:rPr>
      </w:pPr>
    </w:p>
    <w:p w:rsidR="00394F34" w:rsidRDefault="00394F34" w:rsidP="00A64765">
      <w:pPr>
        <w:contextualSpacing/>
        <w:jc w:val="both"/>
        <w:rPr>
          <w:sz w:val="22"/>
          <w:szCs w:val="22"/>
        </w:rPr>
        <w:sectPr w:rsidR="00394F34" w:rsidSect="00A64765">
          <w:type w:val="continuous"/>
          <w:pgSz w:w="12240" w:h="15840"/>
          <w:pgMar w:top="1440" w:right="1440" w:bottom="1440" w:left="1440" w:header="720" w:footer="720" w:gutter="0"/>
          <w:cols w:num="2" w:space="720"/>
          <w:docGrid w:linePitch="360"/>
        </w:sectPr>
      </w:pPr>
    </w:p>
    <w:p w:rsidR="00394F34" w:rsidRDefault="00394F34" w:rsidP="00240F53">
      <w:pPr>
        <w:pStyle w:val="Caption"/>
        <w:keepNext/>
        <w:contextualSpacing/>
        <w:jc w:val="center"/>
        <w:rPr>
          <w:rFonts w:ascii="Times New Roman" w:hAnsi="Times New Roman"/>
          <w:color w:val="auto"/>
        </w:rPr>
      </w:pPr>
      <w:r w:rsidRPr="00394F34">
        <w:rPr>
          <w:rFonts w:ascii="Times New Roman" w:hAnsi="Times New Roman"/>
          <w:color w:val="auto"/>
        </w:rPr>
        <w:lastRenderedPageBreak/>
        <w:t>Table 2</w:t>
      </w:r>
    </w:p>
    <w:p w:rsidR="00240F53" w:rsidRPr="00240F53" w:rsidRDefault="00240F53" w:rsidP="00240F53">
      <w:pPr>
        <w:rPr>
          <w:lang w:bidi="en-US"/>
        </w:rPr>
      </w:pPr>
    </w:p>
    <w:p w:rsidR="00394F34" w:rsidRPr="00CD0226" w:rsidRDefault="00394F34" w:rsidP="00240F53">
      <w:pPr>
        <w:pStyle w:val="Caption"/>
        <w:keepNext/>
        <w:spacing w:after="0"/>
        <w:ind w:left="907"/>
        <w:contextualSpacing/>
        <w:rPr>
          <w:rFonts w:ascii="Times New Roman" w:hAnsi="Times New Roman"/>
          <w:b w:val="0"/>
          <w:color w:val="auto"/>
        </w:rPr>
      </w:pPr>
      <w:r w:rsidRPr="00CD0226">
        <w:rPr>
          <w:rFonts w:ascii="Times New Roman" w:hAnsi="Times New Roman"/>
          <w:b w:val="0"/>
          <w:color w:val="auto"/>
        </w:rPr>
        <w:t>Adjusted Odds Ratios for Overweight and Obesity by Year, Ethnicity and Type of Preschool</w:t>
      </w:r>
    </w:p>
    <w:tbl>
      <w:tblPr>
        <w:tblStyle w:val="TableGrid"/>
        <w:tblW w:w="7692" w:type="dxa"/>
        <w:jc w:val="center"/>
        <w:tblLayout w:type="fixed"/>
        <w:tblLook w:val="04A0" w:firstRow="1" w:lastRow="0" w:firstColumn="1" w:lastColumn="0" w:noHBand="0" w:noVBand="1"/>
      </w:tblPr>
      <w:tblGrid>
        <w:gridCol w:w="1301"/>
        <w:gridCol w:w="1026"/>
        <w:gridCol w:w="1093"/>
        <w:gridCol w:w="2112"/>
        <w:gridCol w:w="2160"/>
      </w:tblGrid>
      <w:tr w:rsidR="00394F34" w:rsidRPr="00CD0226" w:rsidTr="00240F53">
        <w:trPr>
          <w:trHeight w:val="549"/>
          <w:jc w:val="center"/>
        </w:trPr>
        <w:tc>
          <w:tcPr>
            <w:tcW w:w="1301" w:type="dxa"/>
            <w:tcBorders>
              <w:left w:val="nil"/>
              <w:bottom w:val="single" w:sz="4" w:space="0" w:color="auto"/>
              <w:right w:val="nil"/>
            </w:tcBorders>
            <w:vAlign w:val="center"/>
          </w:tcPr>
          <w:p w:rsidR="00394F34" w:rsidRPr="00CD0226" w:rsidRDefault="00394F34" w:rsidP="00675F9D">
            <w:pPr>
              <w:rPr>
                <w:b/>
                <w:sz w:val="18"/>
                <w:szCs w:val="18"/>
              </w:rPr>
            </w:pPr>
            <w:r w:rsidRPr="00CD0226">
              <w:rPr>
                <w:sz w:val="18"/>
                <w:szCs w:val="18"/>
              </w:rPr>
              <w:t>(n = 1041)</w:t>
            </w:r>
          </w:p>
        </w:tc>
        <w:tc>
          <w:tcPr>
            <w:tcW w:w="1026" w:type="dxa"/>
            <w:tcBorders>
              <w:left w:val="nil"/>
              <w:bottom w:val="single" w:sz="4" w:space="0" w:color="auto"/>
              <w:right w:val="nil"/>
            </w:tcBorders>
          </w:tcPr>
          <w:p w:rsidR="00394F34" w:rsidRPr="00CD0226" w:rsidRDefault="00394F34" w:rsidP="00675F9D">
            <w:pPr>
              <w:rPr>
                <w:b/>
                <w:sz w:val="18"/>
                <w:szCs w:val="18"/>
              </w:rPr>
            </w:pPr>
          </w:p>
        </w:tc>
        <w:tc>
          <w:tcPr>
            <w:tcW w:w="1093" w:type="dxa"/>
            <w:tcBorders>
              <w:left w:val="nil"/>
              <w:bottom w:val="single" w:sz="4" w:space="0" w:color="auto"/>
              <w:right w:val="nil"/>
            </w:tcBorders>
          </w:tcPr>
          <w:p w:rsidR="00394F34" w:rsidRPr="00CD0226" w:rsidRDefault="00394F34" w:rsidP="00675F9D">
            <w:pPr>
              <w:jc w:val="center"/>
              <w:rPr>
                <w:b/>
                <w:sz w:val="18"/>
                <w:szCs w:val="18"/>
              </w:rPr>
            </w:pPr>
          </w:p>
        </w:tc>
        <w:tc>
          <w:tcPr>
            <w:tcW w:w="2112" w:type="dxa"/>
            <w:tcBorders>
              <w:left w:val="nil"/>
              <w:bottom w:val="single" w:sz="4" w:space="0" w:color="auto"/>
              <w:right w:val="nil"/>
            </w:tcBorders>
          </w:tcPr>
          <w:p w:rsidR="00394F34" w:rsidRPr="00CD0226" w:rsidRDefault="00394F34" w:rsidP="00675F9D">
            <w:pPr>
              <w:jc w:val="center"/>
              <w:rPr>
                <w:b/>
                <w:sz w:val="18"/>
                <w:szCs w:val="18"/>
              </w:rPr>
            </w:pPr>
            <w:r w:rsidRPr="00CD0226">
              <w:rPr>
                <w:b/>
                <w:sz w:val="18"/>
                <w:szCs w:val="18"/>
              </w:rPr>
              <w:t>Adjusted Odds</w:t>
            </w:r>
          </w:p>
          <w:p w:rsidR="00394F34" w:rsidRPr="00CD0226" w:rsidRDefault="00394F34" w:rsidP="00675F9D">
            <w:pPr>
              <w:jc w:val="center"/>
              <w:rPr>
                <w:b/>
                <w:sz w:val="18"/>
                <w:szCs w:val="18"/>
              </w:rPr>
            </w:pPr>
            <w:r w:rsidRPr="00CD0226">
              <w:rPr>
                <w:b/>
                <w:sz w:val="18"/>
                <w:szCs w:val="18"/>
              </w:rPr>
              <w:t>Ratio (CI) of Being Overweight</w:t>
            </w:r>
          </w:p>
        </w:tc>
        <w:tc>
          <w:tcPr>
            <w:tcW w:w="2160" w:type="dxa"/>
            <w:tcBorders>
              <w:left w:val="nil"/>
              <w:bottom w:val="single" w:sz="4" w:space="0" w:color="auto"/>
              <w:right w:val="nil"/>
            </w:tcBorders>
          </w:tcPr>
          <w:p w:rsidR="00394F34" w:rsidRPr="00CD0226" w:rsidRDefault="00394F34" w:rsidP="00675F9D">
            <w:pPr>
              <w:jc w:val="center"/>
              <w:rPr>
                <w:b/>
                <w:sz w:val="18"/>
                <w:szCs w:val="18"/>
              </w:rPr>
            </w:pPr>
            <w:r w:rsidRPr="00CD0226">
              <w:rPr>
                <w:b/>
                <w:sz w:val="18"/>
                <w:szCs w:val="18"/>
              </w:rPr>
              <w:t xml:space="preserve">Adjusted Odds Ratio (CI) of </w:t>
            </w:r>
          </w:p>
          <w:p w:rsidR="00394F34" w:rsidRPr="00CD0226" w:rsidRDefault="00394F34" w:rsidP="00675F9D">
            <w:pPr>
              <w:jc w:val="center"/>
              <w:rPr>
                <w:b/>
                <w:sz w:val="18"/>
                <w:szCs w:val="18"/>
              </w:rPr>
            </w:pPr>
            <w:r w:rsidRPr="00CD0226">
              <w:rPr>
                <w:b/>
                <w:sz w:val="18"/>
                <w:szCs w:val="18"/>
              </w:rPr>
              <w:t>Being Obese</w:t>
            </w:r>
          </w:p>
        </w:tc>
      </w:tr>
      <w:tr w:rsidR="00394F34" w:rsidRPr="00CD0226" w:rsidTr="00240F53">
        <w:trPr>
          <w:trHeight w:val="266"/>
          <w:jc w:val="center"/>
        </w:trPr>
        <w:tc>
          <w:tcPr>
            <w:tcW w:w="1301" w:type="dxa"/>
            <w:tcBorders>
              <w:top w:val="single" w:sz="4" w:space="0" w:color="auto"/>
              <w:left w:val="nil"/>
              <w:bottom w:val="nil"/>
              <w:right w:val="nil"/>
            </w:tcBorders>
          </w:tcPr>
          <w:p w:rsidR="00394F34" w:rsidRPr="00CD0226" w:rsidRDefault="00394F34" w:rsidP="00675F9D">
            <w:pPr>
              <w:rPr>
                <w:b/>
                <w:sz w:val="18"/>
                <w:szCs w:val="18"/>
              </w:rPr>
            </w:pPr>
            <w:r w:rsidRPr="00CD0226">
              <w:rPr>
                <w:b/>
                <w:sz w:val="18"/>
                <w:szCs w:val="18"/>
              </w:rPr>
              <w:t>Children</w:t>
            </w:r>
          </w:p>
        </w:tc>
        <w:tc>
          <w:tcPr>
            <w:tcW w:w="1026" w:type="dxa"/>
            <w:tcBorders>
              <w:top w:val="single" w:sz="4" w:space="0" w:color="auto"/>
              <w:left w:val="nil"/>
              <w:bottom w:val="nil"/>
              <w:right w:val="nil"/>
            </w:tcBorders>
          </w:tcPr>
          <w:p w:rsidR="00394F34" w:rsidRPr="00CD0226" w:rsidRDefault="00394F34" w:rsidP="00675F9D">
            <w:pPr>
              <w:rPr>
                <w:b/>
                <w:sz w:val="18"/>
                <w:szCs w:val="18"/>
              </w:rPr>
            </w:pPr>
          </w:p>
        </w:tc>
        <w:tc>
          <w:tcPr>
            <w:tcW w:w="1093" w:type="dxa"/>
            <w:tcBorders>
              <w:top w:val="single" w:sz="4" w:space="0" w:color="auto"/>
              <w:left w:val="nil"/>
              <w:bottom w:val="nil"/>
              <w:right w:val="nil"/>
            </w:tcBorders>
          </w:tcPr>
          <w:p w:rsidR="00394F34" w:rsidRPr="00CD0226" w:rsidRDefault="00394F34" w:rsidP="00675F9D">
            <w:pPr>
              <w:jc w:val="center"/>
              <w:rPr>
                <w:sz w:val="18"/>
                <w:szCs w:val="18"/>
              </w:rPr>
            </w:pPr>
          </w:p>
        </w:tc>
        <w:tc>
          <w:tcPr>
            <w:tcW w:w="2112" w:type="dxa"/>
            <w:tcBorders>
              <w:top w:val="single" w:sz="4" w:space="0" w:color="auto"/>
              <w:left w:val="nil"/>
              <w:bottom w:val="nil"/>
              <w:right w:val="nil"/>
            </w:tcBorders>
          </w:tcPr>
          <w:p w:rsidR="00394F34" w:rsidRPr="00CD0226" w:rsidRDefault="00394F34" w:rsidP="00675F9D">
            <w:pPr>
              <w:pStyle w:val="NoSpacing"/>
              <w:jc w:val="right"/>
              <w:rPr>
                <w:sz w:val="18"/>
                <w:szCs w:val="18"/>
              </w:rPr>
            </w:pPr>
          </w:p>
        </w:tc>
        <w:tc>
          <w:tcPr>
            <w:tcW w:w="2160" w:type="dxa"/>
            <w:tcBorders>
              <w:top w:val="single" w:sz="4" w:space="0" w:color="auto"/>
              <w:left w:val="nil"/>
              <w:bottom w:val="nil"/>
              <w:right w:val="nil"/>
            </w:tcBorders>
          </w:tcPr>
          <w:p w:rsidR="00394F34" w:rsidRPr="00CD0226" w:rsidRDefault="00394F34" w:rsidP="00675F9D">
            <w:pPr>
              <w:jc w:val="center"/>
              <w:rPr>
                <w:b/>
                <w:sz w:val="18"/>
                <w:szCs w:val="18"/>
              </w:rPr>
            </w:pPr>
          </w:p>
        </w:tc>
      </w:tr>
      <w:tr w:rsidR="00394F34" w:rsidRPr="00CD0226" w:rsidTr="00240F53">
        <w:trPr>
          <w:trHeight w:val="266"/>
          <w:jc w:val="center"/>
        </w:trPr>
        <w:tc>
          <w:tcPr>
            <w:tcW w:w="1301" w:type="dxa"/>
            <w:tcBorders>
              <w:top w:val="nil"/>
              <w:left w:val="nil"/>
              <w:bottom w:val="nil"/>
              <w:right w:val="nil"/>
            </w:tcBorders>
          </w:tcPr>
          <w:p w:rsidR="00394F34" w:rsidRPr="00CD0226" w:rsidRDefault="00394F34" w:rsidP="00675F9D">
            <w:pPr>
              <w:rPr>
                <w:sz w:val="18"/>
                <w:szCs w:val="18"/>
              </w:rPr>
            </w:pPr>
            <w:r w:rsidRPr="00CD0226">
              <w:rPr>
                <w:sz w:val="18"/>
                <w:szCs w:val="18"/>
              </w:rPr>
              <w:t xml:space="preserve">Overall </w:t>
            </w:r>
          </w:p>
        </w:tc>
        <w:tc>
          <w:tcPr>
            <w:tcW w:w="1026" w:type="dxa"/>
            <w:tcBorders>
              <w:top w:val="nil"/>
              <w:left w:val="nil"/>
              <w:bottom w:val="nil"/>
              <w:right w:val="nil"/>
            </w:tcBorders>
          </w:tcPr>
          <w:p w:rsidR="00394F34" w:rsidRPr="00CD0226" w:rsidRDefault="00394F34" w:rsidP="00675F9D">
            <w:pPr>
              <w:rPr>
                <w:b/>
                <w:sz w:val="18"/>
                <w:szCs w:val="18"/>
              </w:rPr>
            </w:pPr>
            <w:r w:rsidRPr="00CD0226">
              <w:rPr>
                <w:b/>
                <w:sz w:val="18"/>
                <w:szCs w:val="18"/>
              </w:rPr>
              <w:t>2006</w:t>
            </w:r>
          </w:p>
        </w:tc>
        <w:tc>
          <w:tcPr>
            <w:tcW w:w="1093" w:type="dxa"/>
            <w:tcBorders>
              <w:top w:val="nil"/>
              <w:left w:val="nil"/>
              <w:bottom w:val="nil"/>
              <w:right w:val="nil"/>
            </w:tcBorders>
          </w:tcPr>
          <w:p w:rsidR="00394F34" w:rsidRPr="00CD0226" w:rsidRDefault="00394F34" w:rsidP="00675F9D">
            <w:pPr>
              <w:jc w:val="center"/>
              <w:rPr>
                <w:sz w:val="18"/>
                <w:szCs w:val="18"/>
              </w:rPr>
            </w:pPr>
            <w:r w:rsidRPr="00CD0226">
              <w:rPr>
                <w:sz w:val="18"/>
                <w:szCs w:val="18"/>
              </w:rPr>
              <w:t>n = 482</w:t>
            </w:r>
          </w:p>
        </w:tc>
        <w:tc>
          <w:tcPr>
            <w:tcW w:w="2112" w:type="dxa"/>
            <w:tcBorders>
              <w:top w:val="nil"/>
              <w:left w:val="nil"/>
              <w:bottom w:val="nil"/>
              <w:right w:val="nil"/>
            </w:tcBorders>
          </w:tcPr>
          <w:p w:rsidR="00394F34" w:rsidRPr="00CD0226" w:rsidRDefault="00394F34" w:rsidP="00675F9D">
            <w:pPr>
              <w:pStyle w:val="NoSpacing"/>
              <w:jc w:val="right"/>
              <w:rPr>
                <w:sz w:val="18"/>
                <w:szCs w:val="18"/>
              </w:rPr>
            </w:pPr>
          </w:p>
        </w:tc>
        <w:tc>
          <w:tcPr>
            <w:tcW w:w="2160" w:type="dxa"/>
            <w:tcBorders>
              <w:top w:val="nil"/>
              <w:left w:val="nil"/>
              <w:bottom w:val="nil"/>
              <w:right w:val="nil"/>
            </w:tcBorders>
          </w:tcPr>
          <w:p w:rsidR="00394F34" w:rsidRPr="00CD0226" w:rsidRDefault="00394F34" w:rsidP="00675F9D">
            <w:pPr>
              <w:jc w:val="center"/>
              <w:rPr>
                <w:b/>
                <w:sz w:val="18"/>
                <w:szCs w:val="18"/>
              </w:rPr>
            </w:pPr>
          </w:p>
        </w:tc>
      </w:tr>
      <w:tr w:rsidR="00394F34" w:rsidRPr="00CD0226" w:rsidTr="00240F53">
        <w:trPr>
          <w:trHeight w:val="266"/>
          <w:jc w:val="center"/>
        </w:trPr>
        <w:tc>
          <w:tcPr>
            <w:tcW w:w="1301" w:type="dxa"/>
            <w:tcBorders>
              <w:top w:val="nil"/>
              <w:left w:val="nil"/>
              <w:bottom w:val="nil"/>
              <w:right w:val="nil"/>
            </w:tcBorders>
          </w:tcPr>
          <w:p w:rsidR="00394F34" w:rsidRPr="00CD0226" w:rsidRDefault="00394F34" w:rsidP="00675F9D">
            <w:pPr>
              <w:rPr>
                <w:sz w:val="18"/>
                <w:szCs w:val="18"/>
              </w:rPr>
            </w:pPr>
          </w:p>
        </w:tc>
        <w:tc>
          <w:tcPr>
            <w:tcW w:w="1026" w:type="dxa"/>
            <w:tcBorders>
              <w:top w:val="nil"/>
              <w:left w:val="nil"/>
              <w:bottom w:val="nil"/>
              <w:right w:val="nil"/>
            </w:tcBorders>
          </w:tcPr>
          <w:p w:rsidR="00394F34" w:rsidRPr="00CD0226" w:rsidRDefault="00394F34" w:rsidP="00675F9D">
            <w:pPr>
              <w:rPr>
                <w:sz w:val="18"/>
                <w:szCs w:val="18"/>
              </w:rPr>
            </w:pPr>
            <w:r w:rsidRPr="00CD0226">
              <w:rPr>
                <w:b/>
                <w:sz w:val="18"/>
                <w:szCs w:val="18"/>
              </w:rPr>
              <w:t>2009/10</w:t>
            </w:r>
          </w:p>
        </w:tc>
        <w:tc>
          <w:tcPr>
            <w:tcW w:w="1093" w:type="dxa"/>
            <w:tcBorders>
              <w:top w:val="nil"/>
              <w:left w:val="nil"/>
              <w:bottom w:val="nil"/>
              <w:right w:val="nil"/>
            </w:tcBorders>
          </w:tcPr>
          <w:p w:rsidR="00394F34" w:rsidRPr="00CD0226" w:rsidRDefault="00394F34" w:rsidP="00675F9D">
            <w:pPr>
              <w:jc w:val="center"/>
              <w:rPr>
                <w:sz w:val="18"/>
                <w:szCs w:val="18"/>
              </w:rPr>
            </w:pPr>
            <w:r w:rsidRPr="00CD0226">
              <w:rPr>
                <w:sz w:val="18"/>
                <w:szCs w:val="18"/>
              </w:rPr>
              <w:t>n = 559</w:t>
            </w:r>
          </w:p>
        </w:tc>
        <w:tc>
          <w:tcPr>
            <w:tcW w:w="2112" w:type="dxa"/>
            <w:tcBorders>
              <w:top w:val="nil"/>
              <w:left w:val="nil"/>
              <w:bottom w:val="nil"/>
              <w:right w:val="nil"/>
            </w:tcBorders>
          </w:tcPr>
          <w:p w:rsidR="00394F34" w:rsidRPr="00CD0226" w:rsidRDefault="00394F34" w:rsidP="00675F9D">
            <w:pPr>
              <w:pStyle w:val="NoSpacing"/>
              <w:jc w:val="center"/>
              <w:rPr>
                <w:sz w:val="18"/>
                <w:szCs w:val="18"/>
              </w:rPr>
            </w:pPr>
            <w:r w:rsidRPr="00CD0226">
              <w:rPr>
                <w:sz w:val="18"/>
                <w:szCs w:val="18"/>
              </w:rPr>
              <w:t xml:space="preserve">1.7 (1.19, 2.38) </w:t>
            </w:r>
          </w:p>
          <w:p w:rsidR="00394F34" w:rsidRPr="00CD0226" w:rsidRDefault="00394F34" w:rsidP="00675F9D">
            <w:pPr>
              <w:pStyle w:val="NoSpacing"/>
              <w:jc w:val="center"/>
              <w:rPr>
                <w:sz w:val="18"/>
                <w:szCs w:val="18"/>
              </w:rPr>
            </w:pPr>
            <w:r w:rsidRPr="00CD0226">
              <w:rPr>
                <w:sz w:val="18"/>
                <w:szCs w:val="18"/>
              </w:rPr>
              <w:t>vs. 2006</w:t>
            </w:r>
          </w:p>
        </w:tc>
        <w:tc>
          <w:tcPr>
            <w:tcW w:w="2160" w:type="dxa"/>
            <w:tcBorders>
              <w:top w:val="nil"/>
              <w:left w:val="nil"/>
              <w:bottom w:val="nil"/>
              <w:right w:val="nil"/>
            </w:tcBorders>
          </w:tcPr>
          <w:p w:rsidR="00394F34" w:rsidRPr="00CD0226" w:rsidRDefault="00394F34" w:rsidP="00675F9D">
            <w:pPr>
              <w:jc w:val="center"/>
              <w:rPr>
                <w:b/>
                <w:sz w:val="18"/>
                <w:szCs w:val="18"/>
              </w:rPr>
            </w:pPr>
          </w:p>
        </w:tc>
      </w:tr>
      <w:tr w:rsidR="00394F34" w:rsidRPr="00CD0226" w:rsidTr="00240F53">
        <w:trPr>
          <w:trHeight w:val="266"/>
          <w:jc w:val="center"/>
        </w:trPr>
        <w:tc>
          <w:tcPr>
            <w:tcW w:w="1301" w:type="dxa"/>
            <w:tcBorders>
              <w:top w:val="nil"/>
              <w:left w:val="nil"/>
              <w:bottom w:val="nil"/>
              <w:right w:val="nil"/>
            </w:tcBorders>
            <w:vAlign w:val="center"/>
          </w:tcPr>
          <w:p w:rsidR="00394F34" w:rsidRPr="00CD0226" w:rsidRDefault="00394F34" w:rsidP="00675F9D">
            <w:pPr>
              <w:rPr>
                <w:b/>
                <w:sz w:val="18"/>
                <w:szCs w:val="18"/>
              </w:rPr>
            </w:pPr>
            <w:r w:rsidRPr="00CD0226">
              <w:rPr>
                <w:b/>
                <w:sz w:val="18"/>
                <w:szCs w:val="18"/>
              </w:rPr>
              <w:t>Ethnicity</w:t>
            </w:r>
          </w:p>
        </w:tc>
        <w:tc>
          <w:tcPr>
            <w:tcW w:w="1026" w:type="dxa"/>
            <w:tcBorders>
              <w:top w:val="nil"/>
              <w:left w:val="nil"/>
              <w:bottom w:val="nil"/>
              <w:right w:val="nil"/>
            </w:tcBorders>
          </w:tcPr>
          <w:p w:rsidR="00394F34" w:rsidRPr="00CD0226" w:rsidRDefault="00394F34" w:rsidP="00675F9D">
            <w:pPr>
              <w:rPr>
                <w:sz w:val="18"/>
                <w:szCs w:val="18"/>
              </w:rPr>
            </w:pPr>
          </w:p>
        </w:tc>
        <w:tc>
          <w:tcPr>
            <w:tcW w:w="1093" w:type="dxa"/>
            <w:tcBorders>
              <w:top w:val="nil"/>
              <w:left w:val="nil"/>
              <w:bottom w:val="nil"/>
              <w:right w:val="nil"/>
            </w:tcBorders>
          </w:tcPr>
          <w:p w:rsidR="00394F34" w:rsidRPr="00CD0226" w:rsidRDefault="00394F34" w:rsidP="00675F9D">
            <w:pPr>
              <w:rPr>
                <w:sz w:val="18"/>
                <w:szCs w:val="18"/>
              </w:rPr>
            </w:pPr>
          </w:p>
        </w:tc>
        <w:tc>
          <w:tcPr>
            <w:tcW w:w="2112" w:type="dxa"/>
            <w:tcBorders>
              <w:top w:val="nil"/>
              <w:left w:val="nil"/>
              <w:bottom w:val="nil"/>
              <w:right w:val="nil"/>
            </w:tcBorders>
          </w:tcPr>
          <w:p w:rsidR="00394F34" w:rsidRPr="00CD0226" w:rsidRDefault="00394F34" w:rsidP="00675F9D">
            <w:pPr>
              <w:jc w:val="right"/>
              <w:rPr>
                <w:sz w:val="18"/>
                <w:szCs w:val="18"/>
              </w:rPr>
            </w:pPr>
          </w:p>
        </w:tc>
        <w:tc>
          <w:tcPr>
            <w:tcW w:w="2160" w:type="dxa"/>
            <w:tcBorders>
              <w:top w:val="nil"/>
              <w:left w:val="nil"/>
              <w:bottom w:val="nil"/>
              <w:right w:val="nil"/>
            </w:tcBorders>
          </w:tcPr>
          <w:p w:rsidR="00394F34" w:rsidRPr="00CD0226" w:rsidRDefault="00394F34" w:rsidP="00675F9D">
            <w:pPr>
              <w:jc w:val="center"/>
              <w:rPr>
                <w:sz w:val="18"/>
                <w:szCs w:val="18"/>
              </w:rPr>
            </w:pPr>
          </w:p>
        </w:tc>
      </w:tr>
      <w:tr w:rsidR="00394F34" w:rsidRPr="00CD0226" w:rsidTr="00240F53">
        <w:trPr>
          <w:trHeight w:val="266"/>
          <w:jc w:val="center"/>
        </w:trPr>
        <w:tc>
          <w:tcPr>
            <w:tcW w:w="1301" w:type="dxa"/>
            <w:tcBorders>
              <w:top w:val="nil"/>
              <w:left w:val="nil"/>
              <w:bottom w:val="nil"/>
              <w:right w:val="nil"/>
            </w:tcBorders>
            <w:vAlign w:val="center"/>
          </w:tcPr>
          <w:p w:rsidR="00394F34" w:rsidRPr="00CD0226" w:rsidRDefault="00394F34" w:rsidP="00675F9D">
            <w:pPr>
              <w:pStyle w:val="NoSpacing"/>
              <w:rPr>
                <w:sz w:val="18"/>
                <w:szCs w:val="18"/>
              </w:rPr>
            </w:pPr>
            <w:r w:rsidRPr="00CD0226">
              <w:rPr>
                <w:sz w:val="18"/>
                <w:szCs w:val="18"/>
              </w:rPr>
              <w:t xml:space="preserve">Caucasian </w:t>
            </w:r>
          </w:p>
        </w:tc>
        <w:tc>
          <w:tcPr>
            <w:tcW w:w="1026" w:type="dxa"/>
            <w:tcBorders>
              <w:top w:val="nil"/>
              <w:left w:val="nil"/>
              <w:bottom w:val="nil"/>
              <w:right w:val="nil"/>
            </w:tcBorders>
          </w:tcPr>
          <w:p w:rsidR="00394F34" w:rsidRPr="00CD0226" w:rsidRDefault="00394F34" w:rsidP="00675F9D">
            <w:pPr>
              <w:rPr>
                <w:sz w:val="18"/>
                <w:szCs w:val="18"/>
              </w:rPr>
            </w:pPr>
            <w:r w:rsidRPr="00CD0226">
              <w:rPr>
                <w:b/>
                <w:sz w:val="18"/>
                <w:szCs w:val="18"/>
              </w:rPr>
              <w:t>2006</w:t>
            </w:r>
          </w:p>
        </w:tc>
        <w:tc>
          <w:tcPr>
            <w:tcW w:w="1093" w:type="dxa"/>
            <w:tcBorders>
              <w:top w:val="nil"/>
              <w:left w:val="nil"/>
              <w:bottom w:val="nil"/>
              <w:right w:val="nil"/>
            </w:tcBorders>
          </w:tcPr>
          <w:p w:rsidR="00394F34" w:rsidRPr="00CD0226" w:rsidRDefault="00394F34" w:rsidP="00675F9D">
            <w:pPr>
              <w:jc w:val="center"/>
              <w:rPr>
                <w:sz w:val="18"/>
                <w:szCs w:val="18"/>
              </w:rPr>
            </w:pPr>
            <w:r w:rsidRPr="00CD0226">
              <w:rPr>
                <w:sz w:val="18"/>
                <w:szCs w:val="18"/>
              </w:rPr>
              <w:t>n = 217</w:t>
            </w:r>
          </w:p>
        </w:tc>
        <w:tc>
          <w:tcPr>
            <w:tcW w:w="2112" w:type="dxa"/>
            <w:tcBorders>
              <w:top w:val="nil"/>
              <w:left w:val="nil"/>
              <w:bottom w:val="nil"/>
              <w:right w:val="nil"/>
            </w:tcBorders>
          </w:tcPr>
          <w:p w:rsidR="00394F34" w:rsidRPr="00CD0226" w:rsidRDefault="00394F34" w:rsidP="00675F9D">
            <w:pPr>
              <w:jc w:val="right"/>
              <w:rPr>
                <w:sz w:val="18"/>
                <w:szCs w:val="18"/>
              </w:rPr>
            </w:pPr>
          </w:p>
        </w:tc>
        <w:tc>
          <w:tcPr>
            <w:tcW w:w="2160" w:type="dxa"/>
            <w:tcBorders>
              <w:top w:val="nil"/>
              <w:left w:val="nil"/>
              <w:bottom w:val="nil"/>
              <w:right w:val="nil"/>
            </w:tcBorders>
          </w:tcPr>
          <w:p w:rsidR="00394F34" w:rsidRPr="00CD0226" w:rsidRDefault="00394F34" w:rsidP="00675F9D">
            <w:pPr>
              <w:jc w:val="center"/>
              <w:rPr>
                <w:sz w:val="18"/>
                <w:szCs w:val="18"/>
              </w:rPr>
            </w:pPr>
          </w:p>
        </w:tc>
      </w:tr>
      <w:tr w:rsidR="00394F34" w:rsidRPr="00CD0226" w:rsidTr="00240F53">
        <w:trPr>
          <w:trHeight w:val="283"/>
          <w:jc w:val="center"/>
        </w:trPr>
        <w:tc>
          <w:tcPr>
            <w:tcW w:w="1301" w:type="dxa"/>
            <w:tcBorders>
              <w:top w:val="nil"/>
              <w:left w:val="nil"/>
              <w:bottom w:val="nil"/>
              <w:right w:val="nil"/>
            </w:tcBorders>
            <w:vAlign w:val="center"/>
          </w:tcPr>
          <w:p w:rsidR="00394F34" w:rsidRPr="00CD0226" w:rsidRDefault="00394F34" w:rsidP="00675F9D">
            <w:pPr>
              <w:pStyle w:val="NoSpacing"/>
              <w:jc w:val="center"/>
              <w:rPr>
                <w:sz w:val="18"/>
                <w:szCs w:val="18"/>
              </w:rPr>
            </w:pPr>
          </w:p>
        </w:tc>
        <w:tc>
          <w:tcPr>
            <w:tcW w:w="1026" w:type="dxa"/>
            <w:tcBorders>
              <w:top w:val="nil"/>
              <w:left w:val="nil"/>
              <w:bottom w:val="nil"/>
              <w:right w:val="nil"/>
            </w:tcBorders>
          </w:tcPr>
          <w:p w:rsidR="00394F34" w:rsidRPr="00CD0226" w:rsidRDefault="00394F34" w:rsidP="00675F9D">
            <w:pPr>
              <w:rPr>
                <w:sz w:val="18"/>
                <w:szCs w:val="18"/>
              </w:rPr>
            </w:pPr>
            <w:r w:rsidRPr="00CD0226">
              <w:rPr>
                <w:b/>
                <w:sz w:val="18"/>
                <w:szCs w:val="18"/>
              </w:rPr>
              <w:t>2009/10</w:t>
            </w:r>
          </w:p>
        </w:tc>
        <w:tc>
          <w:tcPr>
            <w:tcW w:w="1093" w:type="dxa"/>
            <w:tcBorders>
              <w:top w:val="nil"/>
              <w:left w:val="nil"/>
              <w:bottom w:val="nil"/>
              <w:right w:val="nil"/>
            </w:tcBorders>
          </w:tcPr>
          <w:p w:rsidR="00394F34" w:rsidRPr="00CD0226" w:rsidRDefault="00394F34" w:rsidP="00675F9D">
            <w:pPr>
              <w:jc w:val="center"/>
              <w:rPr>
                <w:sz w:val="18"/>
                <w:szCs w:val="18"/>
              </w:rPr>
            </w:pPr>
            <w:r w:rsidRPr="00CD0226">
              <w:rPr>
                <w:sz w:val="18"/>
                <w:szCs w:val="18"/>
              </w:rPr>
              <w:t>n = 270</w:t>
            </w:r>
          </w:p>
        </w:tc>
        <w:tc>
          <w:tcPr>
            <w:tcW w:w="2112" w:type="dxa"/>
            <w:tcBorders>
              <w:top w:val="nil"/>
              <w:left w:val="nil"/>
              <w:bottom w:val="nil"/>
              <w:right w:val="nil"/>
            </w:tcBorders>
          </w:tcPr>
          <w:p w:rsidR="00394F34" w:rsidRPr="00CD0226" w:rsidRDefault="00394F34" w:rsidP="00675F9D">
            <w:pPr>
              <w:jc w:val="right"/>
              <w:rPr>
                <w:sz w:val="18"/>
                <w:szCs w:val="18"/>
              </w:rPr>
            </w:pPr>
          </w:p>
        </w:tc>
        <w:tc>
          <w:tcPr>
            <w:tcW w:w="2160" w:type="dxa"/>
            <w:tcBorders>
              <w:top w:val="nil"/>
              <w:left w:val="nil"/>
              <w:bottom w:val="nil"/>
              <w:right w:val="nil"/>
            </w:tcBorders>
          </w:tcPr>
          <w:p w:rsidR="00394F34" w:rsidRPr="00CD0226" w:rsidRDefault="00394F34" w:rsidP="00675F9D">
            <w:pPr>
              <w:jc w:val="center"/>
              <w:rPr>
                <w:sz w:val="18"/>
                <w:szCs w:val="18"/>
              </w:rPr>
            </w:pPr>
          </w:p>
        </w:tc>
      </w:tr>
      <w:tr w:rsidR="00394F34" w:rsidRPr="00CD0226" w:rsidTr="00240F53">
        <w:trPr>
          <w:trHeight w:val="266"/>
          <w:jc w:val="center"/>
        </w:trPr>
        <w:tc>
          <w:tcPr>
            <w:tcW w:w="1301" w:type="dxa"/>
            <w:tcBorders>
              <w:top w:val="nil"/>
              <w:left w:val="nil"/>
              <w:bottom w:val="nil"/>
              <w:right w:val="nil"/>
            </w:tcBorders>
            <w:vAlign w:val="center"/>
          </w:tcPr>
          <w:p w:rsidR="00394F34" w:rsidRPr="00CD0226" w:rsidRDefault="00394F34" w:rsidP="00675F9D">
            <w:pPr>
              <w:pStyle w:val="NoSpacing"/>
              <w:rPr>
                <w:sz w:val="18"/>
                <w:szCs w:val="18"/>
              </w:rPr>
            </w:pPr>
          </w:p>
        </w:tc>
        <w:tc>
          <w:tcPr>
            <w:tcW w:w="1026" w:type="dxa"/>
            <w:tcBorders>
              <w:top w:val="nil"/>
              <w:left w:val="nil"/>
              <w:bottom w:val="nil"/>
              <w:right w:val="nil"/>
            </w:tcBorders>
          </w:tcPr>
          <w:p w:rsidR="00394F34" w:rsidRPr="00CD0226" w:rsidRDefault="00394F34" w:rsidP="00675F9D">
            <w:pPr>
              <w:rPr>
                <w:sz w:val="18"/>
                <w:szCs w:val="18"/>
              </w:rPr>
            </w:pPr>
          </w:p>
        </w:tc>
        <w:tc>
          <w:tcPr>
            <w:tcW w:w="1093" w:type="dxa"/>
            <w:tcBorders>
              <w:top w:val="nil"/>
              <w:left w:val="nil"/>
              <w:bottom w:val="nil"/>
              <w:right w:val="nil"/>
            </w:tcBorders>
          </w:tcPr>
          <w:p w:rsidR="00394F34" w:rsidRPr="00CD0226" w:rsidRDefault="00394F34" w:rsidP="00675F9D">
            <w:pPr>
              <w:jc w:val="center"/>
              <w:rPr>
                <w:sz w:val="18"/>
                <w:szCs w:val="18"/>
              </w:rPr>
            </w:pPr>
          </w:p>
        </w:tc>
        <w:tc>
          <w:tcPr>
            <w:tcW w:w="2112" w:type="dxa"/>
            <w:tcBorders>
              <w:top w:val="nil"/>
              <w:left w:val="nil"/>
              <w:bottom w:val="nil"/>
              <w:right w:val="nil"/>
            </w:tcBorders>
          </w:tcPr>
          <w:p w:rsidR="00394F34" w:rsidRPr="00CD0226" w:rsidRDefault="00394F34" w:rsidP="00675F9D">
            <w:pPr>
              <w:jc w:val="right"/>
              <w:rPr>
                <w:sz w:val="18"/>
                <w:szCs w:val="18"/>
              </w:rPr>
            </w:pPr>
          </w:p>
        </w:tc>
        <w:tc>
          <w:tcPr>
            <w:tcW w:w="2160" w:type="dxa"/>
            <w:tcBorders>
              <w:top w:val="nil"/>
              <w:left w:val="nil"/>
              <w:bottom w:val="nil"/>
              <w:right w:val="nil"/>
            </w:tcBorders>
          </w:tcPr>
          <w:p w:rsidR="00394F34" w:rsidRPr="00CD0226" w:rsidRDefault="00394F34" w:rsidP="00675F9D">
            <w:pPr>
              <w:jc w:val="center"/>
              <w:rPr>
                <w:sz w:val="18"/>
                <w:szCs w:val="18"/>
              </w:rPr>
            </w:pPr>
          </w:p>
        </w:tc>
      </w:tr>
      <w:tr w:rsidR="00394F34" w:rsidRPr="00CD0226" w:rsidTr="00240F53">
        <w:trPr>
          <w:trHeight w:val="283"/>
          <w:jc w:val="center"/>
        </w:trPr>
        <w:tc>
          <w:tcPr>
            <w:tcW w:w="1301" w:type="dxa"/>
            <w:tcBorders>
              <w:top w:val="nil"/>
              <w:left w:val="nil"/>
              <w:bottom w:val="nil"/>
              <w:right w:val="nil"/>
            </w:tcBorders>
            <w:vAlign w:val="center"/>
          </w:tcPr>
          <w:p w:rsidR="00394F34" w:rsidRPr="00CD0226" w:rsidRDefault="00394F34" w:rsidP="00675F9D">
            <w:pPr>
              <w:pStyle w:val="NoSpacing"/>
              <w:rPr>
                <w:sz w:val="18"/>
                <w:szCs w:val="18"/>
              </w:rPr>
            </w:pPr>
            <w:r w:rsidRPr="00CD0226">
              <w:rPr>
                <w:sz w:val="18"/>
                <w:szCs w:val="18"/>
              </w:rPr>
              <w:t xml:space="preserve">Hispanic </w:t>
            </w:r>
          </w:p>
        </w:tc>
        <w:tc>
          <w:tcPr>
            <w:tcW w:w="1026" w:type="dxa"/>
            <w:tcBorders>
              <w:top w:val="nil"/>
              <w:left w:val="nil"/>
              <w:bottom w:val="nil"/>
              <w:right w:val="nil"/>
            </w:tcBorders>
          </w:tcPr>
          <w:p w:rsidR="00394F34" w:rsidRPr="00CD0226" w:rsidRDefault="00394F34" w:rsidP="00675F9D">
            <w:pPr>
              <w:rPr>
                <w:sz w:val="18"/>
                <w:szCs w:val="18"/>
              </w:rPr>
            </w:pPr>
            <w:r w:rsidRPr="00CD0226">
              <w:rPr>
                <w:b/>
                <w:sz w:val="18"/>
                <w:szCs w:val="18"/>
              </w:rPr>
              <w:t>2006</w:t>
            </w:r>
          </w:p>
        </w:tc>
        <w:tc>
          <w:tcPr>
            <w:tcW w:w="1093" w:type="dxa"/>
            <w:tcBorders>
              <w:top w:val="nil"/>
              <w:left w:val="nil"/>
              <w:bottom w:val="nil"/>
              <w:right w:val="nil"/>
            </w:tcBorders>
          </w:tcPr>
          <w:p w:rsidR="00394F34" w:rsidRPr="00CD0226" w:rsidRDefault="00394F34" w:rsidP="00675F9D">
            <w:pPr>
              <w:jc w:val="center"/>
              <w:rPr>
                <w:sz w:val="18"/>
                <w:szCs w:val="18"/>
              </w:rPr>
            </w:pPr>
            <w:r w:rsidRPr="00CD0226">
              <w:rPr>
                <w:sz w:val="18"/>
                <w:szCs w:val="18"/>
              </w:rPr>
              <w:t>n = 265</w:t>
            </w:r>
          </w:p>
        </w:tc>
        <w:tc>
          <w:tcPr>
            <w:tcW w:w="2112" w:type="dxa"/>
            <w:tcBorders>
              <w:top w:val="nil"/>
              <w:left w:val="nil"/>
              <w:bottom w:val="nil"/>
              <w:right w:val="nil"/>
            </w:tcBorders>
          </w:tcPr>
          <w:p w:rsidR="00394F34" w:rsidRPr="00CD0226" w:rsidRDefault="00394F34" w:rsidP="00675F9D">
            <w:pPr>
              <w:jc w:val="right"/>
              <w:rPr>
                <w:sz w:val="18"/>
                <w:szCs w:val="18"/>
              </w:rPr>
            </w:pPr>
          </w:p>
        </w:tc>
        <w:tc>
          <w:tcPr>
            <w:tcW w:w="2160" w:type="dxa"/>
            <w:tcBorders>
              <w:top w:val="nil"/>
              <w:left w:val="nil"/>
              <w:bottom w:val="nil"/>
              <w:right w:val="nil"/>
            </w:tcBorders>
          </w:tcPr>
          <w:p w:rsidR="00394F34" w:rsidRPr="00CD0226" w:rsidRDefault="00394F34" w:rsidP="00675F9D">
            <w:pPr>
              <w:jc w:val="center"/>
              <w:rPr>
                <w:sz w:val="18"/>
                <w:szCs w:val="18"/>
              </w:rPr>
            </w:pPr>
          </w:p>
        </w:tc>
      </w:tr>
      <w:tr w:rsidR="00394F34" w:rsidRPr="00CD0226" w:rsidTr="00240F53">
        <w:trPr>
          <w:trHeight w:val="266"/>
          <w:jc w:val="center"/>
        </w:trPr>
        <w:tc>
          <w:tcPr>
            <w:tcW w:w="1301" w:type="dxa"/>
            <w:tcBorders>
              <w:top w:val="nil"/>
              <w:left w:val="nil"/>
              <w:bottom w:val="nil"/>
              <w:right w:val="nil"/>
            </w:tcBorders>
          </w:tcPr>
          <w:p w:rsidR="00394F34" w:rsidRPr="00CD0226" w:rsidRDefault="00394F34" w:rsidP="00675F9D">
            <w:pPr>
              <w:rPr>
                <w:sz w:val="18"/>
                <w:szCs w:val="18"/>
              </w:rPr>
            </w:pPr>
          </w:p>
        </w:tc>
        <w:tc>
          <w:tcPr>
            <w:tcW w:w="1026" w:type="dxa"/>
            <w:tcBorders>
              <w:top w:val="nil"/>
              <w:left w:val="nil"/>
              <w:bottom w:val="nil"/>
              <w:right w:val="nil"/>
            </w:tcBorders>
          </w:tcPr>
          <w:p w:rsidR="00394F34" w:rsidRPr="00CD0226" w:rsidRDefault="00394F34" w:rsidP="00675F9D">
            <w:pPr>
              <w:rPr>
                <w:sz w:val="18"/>
                <w:szCs w:val="18"/>
              </w:rPr>
            </w:pPr>
            <w:r w:rsidRPr="00CD0226">
              <w:rPr>
                <w:b/>
                <w:sz w:val="18"/>
                <w:szCs w:val="18"/>
              </w:rPr>
              <w:t>2009/10</w:t>
            </w:r>
          </w:p>
        </w:tc>
        <w:tc>
          <w:tcPr>
            <w:tcW w:w="1093" w:type="dxa"/>
            <w:tcBorders>
              <w:top w:val="nil"/>
              <w:left w:val="nil"/>
              <w:bottom w:val="nil"/>
              <w:right w:val="nil"/>
            </w:tcBorders>
          </w:tcPr>
          <w:p w:rsidR="00394F34" w:rsidRPr="00CD0226" w:rsidRDefault="00394F34" w:rsidP="00675F9D">
            <w:pPr>
              <w:jc w:val="center"/>
              <w:rPr>
                <w:sz w:val="18"/>
                <w:szCs w:val="18"/>
              </w:rPr>
            </w:pPr>
            <w:r w:rsidRPr="00CD0226">
              <w:rPr>
                <w:sz w:val="18"/>
                <w:szCs w:val="18"/>
              </w:rPr>
              <w:t>n = 289</w:t>
            </w:r>
          </w:p>
        </w:tc>
        <w:tc>
          <w:tcPr>
            <w:tcW w:w="2112" w:type="dxa"/>
            <w:tcBorders>
              <w:top w:val="nil"/>
              <w:left w:val="nil"/>
              <w:bottom w:val="nil"/>
              <w:right w:val="nil"/>
            </w:tcBorders>
          </w:tcPr>
          <w:p w:rsidR="00394F34" w:rsidRPr="00CD0226" w:rsidRDefault="00394F34" w:rsidP="00675F9D">
            <w:pPr>
              <w:jc w:val="right"/>
              <w:rPr>
                <w:sz w:val="18"/>
                <w:szCs w:val="18"/>
              </w:rPr>
            </w:pPr>
          </w:p>
        </w:tc>
        <w:tc>
          <w:tcPr>
            <w:tcW w:w="2160" w:type="dxa"/>
            <w:tcBorders>
              <w:top w:val="nil"/>
              <w:left w:val="nil"/>
              <w:bottom w:val="nil"/>
              <w:right w:val="nil"/>
            </w:tcBorders>
          </w:tcPr>
          <w:p w:rsidR="00394F34" w:rsidRPr="00CD0226" w:rsidRDefault="00394F34" w:rsidP="00675F9D">
            <w:pPr>
              <w:jc w:val="center"/>
              <w:rPr>
                <w:sz w:val="18"/>
                <w:szCs w:val="18"/>
              </w:rPr>
            </w:pPr>
            <w:r w:rsidRPr="00CD0226">
              <w:rPr>
                <w:sz w:val="18"/>
                <w:szCs w:val="18"/>
              </w:rPr>
              <w:t xml:space="preserve">2.7 (1.68, 4.57)  </w:t>
            </w:r>
          </w:p>
          <w:p w:rsidR="00394F34" w:rsidRPr="00CD0226" w:rsidRDefault="00394F34" w:rsidP="00675F9D">
            <w:pPr>
              <w:jc w:val="center"/>
              <w:rPr>
                <w:sz w:val="18"/>
                <w:szCs w:val="18"/>
              </w:rPr>
            </w:pPr>
            <w:r w:rsidRPr="00CD0226">
              <w:rPr>
                <w:sz w:val="18"/>
                <w:szCs w:val="18"/>
              </w:rPr>
              <w:t>vs. Caucasian</w:t>
            </w:r>
          </w:p>
        </w:tc>
      </w:tr>
      <w:tr w:rsidR="00394F34" w:rsidRPr="00CD0226" w:rsidTr="00240F53">
        <w:trPr>
          <w:trHeight w:val="266"/>
          <w:jc w:val="center"/>
        </w:trPr>
        <w:tc>
          <w:tcPr>
            <w:tcW w:w="1301" w:type="dxa"/>
            <w:tcBorders>
              <w:top w:val="nil"/>
              <w:left w:val="nil"/>
              <w:bottom w:val="nil"/>
              <w:right w:val="nil"/>
            </w:tcBorders>
            <w:vAlign w:val="center"/>
          </w:tcPr>
          <w:p w:rsidR="00394F34" w:rsidRPr="00CD0226" w:rsidRDefault="00394F34" w:rsidP="00675F9D">
            <w:pPr>
              <w:pStyle w:val="NoSpacing"/>
              <w:rPr>
                <w:b/>
                <w:sz w:val="18"/>
                <w:szCs w:val="18"/>
              </w:rPr>
            </w:pPr>
            <w:r w:rsidRPr="00CD0226">
              <w:rPr>
                <w:b/>
                <w:sz w:val="18"/>
                <w:szCs w:val="18"/>
              </w:rPr>
              <w:t>Type of Preschool</w:t>
            </w:r>
          </w:p>
        </w:tc>
        <w:tc>
          <w:tcPr>
            <w:tcW w:w="1026" w:type="dxa"/>
            <w:tcBorders>
              <w:top w:val="nil"/>
              <w:left w:val="nil"/>
              <w:bottom w:val="nil"/>
              <w:right w:val="nil"/>
            </w:tcBorders>
          </w:tcPr>
          <w:p w:rsidR="00394F34" w:rsidRPr="00CD0226" w:rsidRDefault="00394F34" w:rsidP="00675F9D">
            <w:pPr>
              <w:rPr>
                <w:sz w:val="18"/>
                <w:szCs w:val="18"/>
              </w:rPr>
            </w:pPr>
          </w:p>
        </w:tc>
        <w:tc>
          <w:tcPr>
            <w:tcW w:w="1093" w:type="dxa"/>
            <w:tcBorders>
              <w:top w:val="nil"/>
              <w:left w:val="nil"/>
              <w:bottom w:val="nil"/>
              <w:right w:val="nil"/>
            </w:tcBorders>
          </w:tcPr>
          <w:p w:rsidR="00394F34" w:rsidRPr="00CD0226" w:rsidRDefault="00394F34" w:rsidP="00675F9D">
            <w:pPr>
              <w:rPr>
                <w:sz w:val="18"/>
                <w:szCs w:val="18"/>
              </w:rPr>
            </w:pPr>
          </w:p>
        </w:tc>
        <w:tc>
          <w:tcPr>
            <w:tcW w:w="2112" w:type="dxa"/>
            <w:tcBorders>
              <w:top w:val="nil"/>
              <w:left w:val="nil"/>
              <w:bottom w:val="nil"/>
              <w:right w:val="nil"/>
            </w:tcBorders>
          </w:tcPr>
          <w:p w:rsidR="00394F34" w:rsidRPr="00CD0226" w:rsidRDefault="00394F34" w:rsidP="00675F9D">
            <w:pPr>
              <w:jc w:val="right"/>
              <w:rPr>
                <w:sz w:val="18"/>
                <w:szCs w:val="18"/>
              </w:rPr>
            </w:pPr>
          </w:p>
        </w:tc>
        <w:tc>
          <w:tcPr>
            <w:tcW w:w="2160" w:type="dxa"/>
            <w:tcBorders>
              <w:top w:val="nil"/>
              <w:left w:val="nil"/>
              <w:bottom w:val="nil"/>
              <w:right w:val="nil"/>
            </w:tcBorders>
          </w:tcPr>
          <w:p w:rsidR="00394F34" w:rsidRPr="00CD0226" w:rsidRDefault="00394F34" w:rsidP="00675F9D">
            <w:pPr>
              <w:jc w:val="center"/>
              <w:rPr>
                <w:sz w:val="18"/>
                <w:szCs w:val="18"/>
              </w:rPr>
            </w:pPr>
          </w:p>
        </w:tc>
      </w:tr>
      <w:tr w:rsidR="00394F34" w:rsidRPr="00CD0226" w:rsidTr="00240F53">
        <w:trPr>
          <w:trHeight w:val="283"/>
          <w:jc w:val="center"/>
        </w:trPr>
        <w:tc>
          <w:tcPr>
            <w:tcW w:w="1301" w:type="dxa"/>
            <w:tcBorders>
              <w:top w:val="nil"/>
              <w:left w:val="nil"/>
              <w:bottom w:val="nil"/>
              <w:right w:val="nil"/>
            </w:tcBorders>
            <w:vAlign w:val="center"/>
          </w:tcPr>
          <w:p w:rsidR="00394F34" w:rsidRPr="00CD0226" w:rsidRDefault="00394F34" w:rsidP="00675F9D">
            <w:pPr>
              <w:pStyle w:val="NoSpacing"/>
              <w:rPr>
                <w:sz w:val="18"/>
                <w:szCs w:val="18"/>
              </w:rPr>
            </w:pPr>
            <w:r w:rsidRPr="00CD0226">
              <w:rPr>
                <w:sz w:val="18"/>
                <w:szCs w:val="18"/>
              </w:rPr>
              <w:t xml:space="preserve">Head Start </w:t>
            </w:r>
          </w:p>
        </w:tc>
        <w:tc>
          <w:tcPr>
            <w:tcW w:w="1026" w:type="dxa"/>
            <w:tcBorders>
              <w:top w:val="nil"/>
              <w:left w:val="nil"/>
              <w:bottom w:val="nil"/>
              <w:right w:val="nil"/>
            </w:tcBorders>
          </w:tcPr>
          <w:p w:rsidR="00394F34" w:rsidRPr="00CD0226" w:rsidRDefault="00394F34" w:rsidP="00675F9D">
            <w:pPr>
              <w:rPr>
                <w:b/>
                <w:sz w:val="18"/>
                <w:szCs w:val="18"/>
              </w:rPr>
            </w:pPr>
          </w:p>
        </w:tc>
        <w:tc>
          <w:tcPr>
            <w:tcW w:w="1093" w:type="dxa"/>
            <w:tcBorders>
              <w:top w:val="nil"/>
              <w:left w:val="nil"/>
              <w:bottom w:val="nil"/>
              <w:right w:val="nil"/>
            </w:tcBorders>
          </w:tcPr>
          <w:p w:rsidR="00394F34" w:rsidRPr="00CD0226" w:rsidRDefault="00394F34" w:rsidP="00675F9D">
            <w:pPr>
              <w:jc w:val="center"/>
              <w:rPr>
                <w:sz w:val="18"/>
                <w:szCs w:val="18"/>
              </w:rPr>
            </w:pPr>
          </w:p>
        </w:tc>
        <w:tc>
          <w:tcPr>
            <w:tcW w:w="2112" w:type="dxa"/>
            <w:tcBorders>
              <w:top w:val="nil"/>
              <w:left w:val="nil"/>
              <w:bottom w:val="nil"/>
              <w:right w:val="nil"/>
            </w:tcBorders>
          </w:tcPr>
          <w:p w:rsidR="00394F34" w:rsidRPr="00CD0226" w:rsidRDefault="00394F34" w:rsidP="00675F9D">
            <w:pPr>
              <w:jc w:val="right"/>
              <w:rPr>
                <w:sz w:val="18"/>
                <w:szCs w:val="18"/>
              </w:rPr>
            </w:pPr>
          </w:p>
        </w:tc>
        <w:tc>
          <w:tcPr>
            <w:tcW w:w="2160" w:type="dxa"/>
            <w:tcBorders>
              <w:top w:val="nil"/>
              <w:left w:val="nil"/>
              <w:bottom w:val="nil"/>
              <w:right w:val="nil"/>
            </w:tcBorders>
          </w:tcPr>
          <w:p w:rsidR="00394F34" w:rsidRPr="00CD0226" w:rsidRDefault="00394F34" w:rsidP="00675F9D">
            <w:pPr>
              <w:jc w:val="center"/>
              <w:rPr>
                <w:sz w:val="18"/>
                <w:szCs w:val="18"/>
              </w:rPr>
            </w:pPr>
            <w:r w:rsidRPr="00CD0226">
              <w:rPr>
                <w:sz w:val="18"/>
                <w:szCs w:val="18"/>
              </w:rPr>
              <w:t xml:space="preserve">2.5 (1.57, 4.00) </w:t>
            </w:r>
          </w:p>
          <w:p w:rsidR="00394F34" w:rsidRPr="00CD0226" w:rsidRDefault="00394F34" w:rsidP="00675F9D">
            <w:pPr>
              <w:jc w:val="center"/>
              <w:rPr>
                <w:sz w:val="18"/>
                <w:szCs w:val="18"/>
              </w:rPr>
            </w:pPr>
            <w:r w:rsidRPr="00CD0226">
              <w:rPr>
                <w:sz w:val="18"/>
                <w:szCs w:val="18"/>
              </w:rPr>
              <w:t xml:space="preserve">vs. Private </w:t>
            </w:r>
          </w:p>
        </w:tc>
      </w:tr>
      <w:tr w:rsidR="00394F34" w:rsidRPr="00CD0226" w:rsidTr="00240F53">
        <w:trPr>
          <w:trHeight w:val="266"/>
          <w:jc w:val="center"/>
        </w:trPr>
        <w:tc>
          <w:tcPr>
            <w:tcW w:w="1301" w:type="dxa"/>
            <w:tcBorders>
              <w:top w:val="nil"/>
              <w:left w:val="nil"/>
              <w:bottom w:val="nil"/>
              <w:right w:val="nil"/>
            </w:tcBorders>
            <w:vAlign w:val="center"/>
          </w:tcPr>
          <w:p w:rsidR="00394F34" w:rsidRPr="00CD0226" w:rsidRDefault="00394F34" w:rsidP="00675F9D">
            <w:pPr>
              <w:pStyle w:val="NoSpacing"/>
              <w:rPr>
                <w:sz w:val="18"/>
                <w:szCs w:val="18"/>
              </w:rPr>
            </w:pPr>
          </w:p>
        </w:tc>
        <w:tc>
          <w:tcPr>
            <w:tcW w:w="1026" w:type="dxa"/>
            <w:tcBorders>
              <w:top w:val="nil"/>
              <w:left w:val="nil"/>
              <w:bottom w:val="nil"/>
              <w:right w:val="nil"/>
            </w:tcBorders>
          </w:tcPr>
          <w:p w:rsidR="00394F34" w:rsidRPr="00CD0226" w:rsidRDefault="00394F34" w:rsidP="00675F9D">
            <w:pPr>
              <w:rPr>
                <w:sz w:val="18"/>
                <w:szCs w:val="18"/>
              </w:rPr>
            </w:pPr>
            <w:r w:rsidRPr="00CD0226">
              <w:rPr>
                <w:b/>
                <w:sz w:val="18"/>
                <w:szCs w:val="18"/>
              </w:rPr>
              <w:t>2006</w:t>
            </w:r>
          </w:p>
        </w:tc>
        <w:tc>
          <w:tcPr>
            <w:tcW w:w="1093" w:type="dxa"/>
            <w:tcBorders>
              <w:top w:val="nil"/>
              <w:left w:val="nil"/>
              <w:bottom w:val="nil"/>
              <w:right w:val="nil"/>
            </w:tcBorders>
          </w:tcPr>
          <w:p w:rsidR="00394F34" w:rsidRPr="00CD0226" w:rsidRDefault="00394F34" w:rsidP="00675F9D">
            <w:pPr>
              <w:jc w:val="center"/>
              <w:rPr>
                <w:sz w:val="18"/>
                <w:szCs w:val="18"/>
              </w:rPr>
            </w:pPr>
            <w:r w:rsidRPr="00CD0226">
              <w:rPr>
                <w:sz w:val="18"/>
                <w:szCs w:val="18"/>
              </w:rPr>
              <w:t>n = 128</w:t>
            </w:r>
          </w:p>
        </w:tc>
        <w:tc>
          <w:tcPr>
            <w:tcW w:w="2112" w:type="dxa"/>
            <w:tcBorders>
              <w:top w:val="nil"/>
              <w:left w:val="nil"/>
              <w:bottom w:val="nil"/>
              <w:right w:val="nil"/>
            </w:tcBorders>
          </w:tcPr>
          <w:p w:rsidR="00394F34" w:rsidRPr="00CD0226" w:rsidRDefault="00394F34" w:rsidP="00675F9D">
            <w:pPr>
              <w:jc w:val="right"/>
              <w:rPr>
                <w:sz w:val="18"/>
                <w:szCs w:val="18"/>
              </w:rPr>
            </w:pPr>
          </w:p>
        </w:tc>
        <w:tc>
          <w:tcPr>
            <w:tcW w:w="2160" w:type="dxa"/>
            <w:tcBorders>
              <w:top w:val="nil"/>
              <w:left w:val="nil"/>
              <w:bottom w:val="nil"/>
              <w:right w:val="nil"/>
            </w:tcBorders>
          </w:tcPr>
          <w:p w:rsidR="00394F34" w:rsidRPr="00CD0226" w:rsidRDefault="00394F34" w:rsidP="00675F9D">
            <w:pPr>
              <w:jc w:val="center"/>
              <w:rPr>
                <w:sz w:val="18"/>
                <w:szCs w:val="18"/>
              </w:rPr>
            </w:pPr>
          </w:p>
        </w:tc>
      </w:tr>
      <w:tr w:rsidR="00394F34" w:rsidRPr="00CD0226" w:rsidTr="00240F53">
        <w:trPr>
          <w:trHeight w:val="283"/>
          <w:jc w:val="center"/>
        </w:trPr>
        <w:tc>
          <w:tcPr>
            <w:tcW w:w="1301" w:type="dxa"/>
            <w:tcBorders>
              <w:top w:val="nil"/>
              <w:left w:val="nil"/>
              <w:bottom w:val="nil"/>
              <w:right w:val="nil"/>
            </w:tcBorders>
            <w:vAlign w:val="center"/>
          </w:tcPr>
          <w:p w:rsidR="00394F34" w:rsidRPr="00CD0226" w:rsidRDefault="00394F34" w:rsidP="00675F9D">
            <w:pPr>
              <w:pStyle w:val="NoSpacing"/>
              <w:rPr>
                <w:sz w:val="18"/>
                <w:szCs w:val="18"/>
              </w:rPr>
            </w:pPr>
          </w:p>
        </w:tc>
        <w:tc>
          <w:tcPr>
            <w:tcW w:w="1026" w:type="dxa"/>
            <w:tcBorders>
              <w:top w:val="nil"/>
              <w:left w:val="nil"/>
              <w:bottom w:val="nil"/>
              <w:right w:val="nil"/>
            </w:tcBorders>
          </w:tcPr>
          <w:p w:rsidR="00394F34" w:rsidRPr="00CD0226" w:rsidRDefault="00394F34" w:rsidP="00675F9D">
            <w:pPr>
              <w:rPr>
                <w:sz w:val="18"/>
                <w:szCs w:val="18"/>
              </w:rPr>
            </w:pPr>
            <w:r w:rsidRPr="00CD0226">
              <w:rPr>
                <w:b/>
                <w:sz w:val="18"/>
                <w:szCs w:val="18"/>
              </w:rPr>
              <w:t>2009/10</w:t>
            </w:r>
          </w:p>
        </w:tc>
        <w:tc>
          <w:tcPr>
            <w:tcW w:w="1093" w:type="dxa"/>
            <w:tcBorders>
              <w:top w:val="nil"/>
              <w:left w:val="nil"/>
              <w:bottom w:val="nil"/>
              <w:right w:val="nil"/>
            </w:tcBorders>
          </w:tcPr>
          <w:p w:rsidR="00394F34" w:rsidRPr="00CD0226" w:rsidRDefault="00394F34" w:rsidP="00675F9D">
            <w:pPr>
              <w:jc w:val="center"/>
              <w:rPr>
                <w:sz w:val="18"/>
                <w:szCs w:val="18"/>
              </w:rPr>
            </w:pPr>
            <w:r w:rsidRPr="00CD0226">
              <w:rPr>
                <w:sz w:val="18"/>
                <w:szCs w:val="18"/>
              </w:rPr>
              <w:t>n = 146</w:t>
            </w:r>
          </w:p>
        </w:tc>
        <w:tc>
          <w:tcPr>
            <w:tcW w:w="2112" w:type="dxa"/>
            <w:tcBorders>
              <w:top w:val="nil"/>
              <w:left w:val="nil"/>
              <w:bottom w:val="nil"/>
              <w:right w:val="nil"/>
            </w:tcBorders>
          </w:tcPr>
          <w:p w:rsidR="00394F34" w:rsidRPr="00CD0226" w:rsidRDefault="00394F34" w:rsidP="00675F9D">
            <w:pPr>
              <w:jc w:val="right"/>
              <w:rPr>
                <w:sz w:val="18"/>
                <w:szCs w:val="18"/>
              </w:rPr>
            </w:pPr>
          </w:p>
        </w:tc>
        <w:tc>
          <w:tcPr>
            <w:tcW w:w="2160" w:type="dxa"/>
            <w:tcBorders>
              <w:top w:val="nil"/>
              <w:left w:val="nil"/>
              <w:bottom w:val="nil"/>
              <w:right w:val="nil"/>
            </w:tcBorders>
          </w:tcPr>
          <w:p w:rsidR="00394F34" w:rsidRPr="00CD0226" w:rsidRDefault="00394F34" w:rsidP="00675F9D">
            <w:pPr>
              <w:jc w:val="center"/>
              <w:rPr>
                <w:sz w:val="18"/>
                <w:szCs w:val="18"/>
              </w:rPr>
            </w:pPr>
          </w:p>
        </w:tc>
      </w:tr>
      <w:tr w:rsidR="00394F34" w:rsidRPr="00CD0226" w:rsidTr="00240F53">
        <w:trPr>
          <w:trHeight w:val="266"/>
          <w:jc w:val="center"/>
        </w:trPr>
        <w:tc>
          <w:tcPr>
            <w:tcW w:w="1301" w:type="dxa"/>
            <w:tcBorders>
              <w:top w:val="nil"/>
              <w:left w:val="nil"/>
              <w:bottom w:val="nil"/>
              <w:right w:val="nil"/>
            </w:tcBorders>
            <w:vAlign w:val="center"/>
          </w:tcPr>
          <w:p w:rsidR="00394F34" w:rsidRPr="00CD0226" w:rsidRDefault="00394F34" w:rsidP="00675F9D">
            <w:pPr>
              <w:pStyle w:val="NoSpacing"/>
              <w:rPr>
                <w:sz w:val="18"/>
                <w:szCs w:val="18"/>
              </w:rPr>
            </w:pPr>
            <w:r w:rsidRPr="00CD0226">
              <w:rPr>
                <w:sz w:val="18"/>
                <w:szCs w:val="18"/>
              </w:rPr>
              <w:t xml:space="preserve">CA State </w:t>
            </w:r>
          </w:p>
        </w:tc>
        <w:tc>
          <w:tcPr>
            <w:tcW w:w="1026" w:type="dxa"/>
            <w:tcBorders>
              <w:top w:val="nil"/>
              <w:left w:val="nil"/>
              <w:bottom w:val="nil"/>
              <w:right w:val="nil"/>
            </w:tcBorders>
          </w:tcPr>
          <w:p w:rsidR="00394F34" w:rsidRPr="00CD0226" w:rsidRDefault="00394F34" w:rsidP="00675F9D">
            <w:pPr>
              <w:rPr>
                <w:b/>
                <w:sz w:val="18"/>
                <w:szCs w:val="18"/>
              </w:rPr>
            </w:pPr>
          </w:p>
        </w:tc>
        <w:tc>
          <w:tcPr>
            <w:tcW w:w="1093" w:type="dxa"/>
            <w:tcBorders>
              <w:top w:val="nil"/>
              <w:left w:val="nil"/>
              <w:bottom w:val="nil"/>
              <w:right w:val="nil"/>
            </w:tcBorders>
          </w:tcPr>
          <w:p w:rsidR="00394F34" w:rsidRPr="00CD0226" w:rsidRDefault="00394F34" w:rsidP="00675F9D">
            <w:pPr>
              <w:jc w:val="center"/>
              <w:rPr>
                <w:sz w:val="18"/>
                <w:szCs w:val="18"/>
              </w:rPr>
            </w:pPr>
          </w:p>
        </w:tc>
        <w:tc>
          <w:tcPr>
            <w:tcW w:w="2112" w:type="dxa"/>
            <w:tcBorders>
              <w:top w:val="nil"/>
              <w:left w:val="nil"/>
              <w:bottom w:val="nil"/>
              <w:right w:val="nil"/>
            </w:tcBorders>
          </w:tcPr>
          <w:p w:rsidR="00394F34" w:rsidRPr="00CD0226" w:rsidRDefault="00394F34" w:rsidP="00675F9D">
            <w:pPr>
              <w:jc w:val="right"/>
              <w:rPr>
                <w:sz w:val="18"/>
                <w:szCs w:val="18"/>
              </w:rPr>
            </w:pPr>
          </w:p>
        </w:tc>
        <w:tc>
          <w:tcPr>
            <w:tcW w:w="2160" w:type="dxa"/>
            <w:tcBorders>
              <w:top w:val="nil"/>
              <w:left w:val="nil"/>
              <w:bottom w:val="nil"/>
              <w:right w:val="nil"/>
            </w:tcBorders>
          </w:tcPr>
          <w:p w:rsidR="00394F34" w:rsidRPr="00CD0226" w:rsidRDefault="00394F34" w:rsidP="00675F9D">
            <w:pPr>
              <w:jc w:val="center"/>
              <w:rPr>
                <w:sz w:val="18"/>
                <w:szCs w:val="18"/>
              </w:rPr>
            </w:pPr>
            <w:r w:rsidRPr="00CD0226">
              <w:rPr>
                <w:sz w:val="18"/>
                <w:szCs w:val="18"/>
              </w:rPr>
              <w:t>2.0 (1.31, 3.17)</w:t>
            </w:r>
          </w:p>
          <w:p w:rsidR="00394F34" w:rsidRPr="00CD0226" w:rsidRDefault="00394F34" w:rsidP="00675F9D">
            <w:pPr>
              <w:jc w:val="center"/>
              <w:rPr>
                <w:sz w:val="18"/>
                <w:szCs w:val="18"/>
              </w:rPr>
            </w:pPr>
            <w:r w:rsidRPr="00CD0226">
              <w:rPr>
                <w:sz w:val="18"/>
                <w:szCs w:val="18"/>
              </w:rPr>
              <w:t xml:space="preserve">vs. Private </w:t>
            </w:r>
          </w:p>
        </w:tc>
      </w:tr>
      <w:tr w:rsidR="00394F34" w:rsidRPr="00CD0226" w:rsidTr="00240F53">
        <w:trPr>
          <w:trHeight w:val="266"/>
          <w:jc w:val="center"/>
        </w:trPr>
        <w:tc>
          <w:tcPr>
            <w:tcW w:w="1301" w:type="dxa"/>
            <w:tcBorders>
              <w:top w:val="nil"/>
              <w:left w:val="nil"/>
              <w:bottom w:val="nil"/>
              <w:right w:val="nil"/>
            </w:tcBorders>
            <w:vAlign w:val="center"/>
          </w:tcPr>
          <w:p w:rsidR="00394F34" w:rsidRPr="00CD0226" w:rsidRDefault="00394F34" w:rsidP="00675F9D">
            <w:pPr>
              <w:pStyle w:val="NoSpacing"/>
              <w:rPr>
                <w:sz w:val="18"/>
                <w:szCs w:val="18"/>
              </w:rPr>
            </w:pPr>
          </w:p>
        </w:tc>
        <w:tc>
          <w:tcPr>
            <w:tcW w:w="1026" w:type="dxa"/>
            <w:tcBorders>
              <w:top w:val="nil"/>
              <w:left w:val="nil"/>
              <w:bottom w:val="nil"/>
              <w:right w:val="nil"/>
            </w:tcBorders>
          </w:tcPr>
          <w:p w:rsidR="00394F34" w:rsidRPr="00CD0226" w:rsidRDefault="00394F34" w:rsidP="00675F9D">
            <w:pPr>
              <w:rPr>
                <w:sz w:val="18"/>
                <w:szCs w:val="18"/>
              </w:rPr>
            </w:pPr>
            <w:r w:rsidRPr="00CD0226">
              <w:rPr>
                <w:b/>
                <w:sz w:val="18"/>
                <w:szCs w:val="18"/>
              </w:rPr>
              <w:t>2006</w:t>
            </w:r>
          </w:p>
        </w:tc>
        <w:tc>
          <w:tcPr>
            <w:tcW w:w="1093" w:type="dxa"/>
            <w:tcBorders>
              <w:top w:val="nil"/>
              <w:left w:val="nil"/>
              <w:bottom w:val="nil"/>
              <w:right w:val="nil"/>
            </w:tcBorders>
          </w:tcPr>
          <w:p w:rsidR="00394F34" w:rsidRPr="00CD0226" w:rsidRDefault="00394F34" w:rsidP="00675F9D">
            <w:pPr>
              <w:jc w:val="center"/>
              <w:rPr>
                <w:sz w:val="18"/>
                <w:szCs w:val="18"/>
              </w:rPr>
            </w:pPr>
            <w:r w:rsidRPr="00CD0226">
              <w:rPr>
                <w:sz w:val="18"/>
                <w:szCs w:val="18"/>
              </w:rPr>
              <w:t>n = 206</w:t>
            </w:r>
          </w:p>
        </w:tc>
        <w:tc>
          <w:tcPr>
            <w:tcW w:w="2112" w:type="dxa"/>
            <w:tcBorders>
              <w:top w:val="nil"/>
              <w:left w:val="nil"/>
              <w:bottom w:val="nil"/>
              <w:right w:val="nil"/>
            </w:tcBorders>
          </w:tcPr>
          <w:p w:rsidR="00394F34" w:rsidRPr="00CD0226" w:rsidRDefault="00394F34" w:rsidP="00675F9D">
            <w:pPr>
              <w:jc w:val="right"/>
              <w:rPr>
                <w:sz w:val="18"/>
                <w:szCs w:val="18"/>
              </w:rPr>
            </w:pPr>
          </w:p>
        </w:tc>
        <w:tc>
          <w:tcPr>
            <w:tcW w:w="2160" w:type="dxa"/>
            <w:tcBorders>
              <w:top w:val="nil"/>
              <w:left w:val="nil"/>
              <w:bottom w:val="nil"/>
              <w:right w:val="nil"/>
            </w:tcBorders>
          </w:tcPr>
          <w:p w:rsidR="00394F34" w:rsidRPr="00CD0226" w:rsidRDefault="00394F34" w:rsidP="00675F9D">
            <w:pPr>
              <w:jc w:val="center"/>
              <w:rPr>
                <w:sz w:val="18"/>
                <w:szCs w:val="18"/>
              </w:rPr>
            </w:pPr>
          </w:p>
        </w:tc>
      </w:tr>
      <w:tr w:rsidR="00394F34" w:rsidRPr="00CD0226" w:rsidTr="00240F53">
        <w:trPr>
          <w:trHeight w:val="283"/>
          <w:jc w:val="center"/>
        </w:trPr>
        <w:tc>
          <w:tcPr>
            <w:tcW w:w="1301" w:type="dxa"/>
            <w:tcBorders>
              <w:top w:val="nil"/>
              <w:left w:val="nil"/>
              <w:bottom w:val="nil"/>
              <w:right w:val="nil"/>
            </w:tcBorders>
            <w:vAlign w:val="center"/>
          </w:tcPr>
          <w:p w:rsidR="00394F34" w:rsidRPr="00CD0226" w:rsidRDefault="00394F34" w:rsidP="00675F9D">
            <w:pPr>
              <w:pStyle w:val="NoSpacing"/>
              <w:rPr>
                <w:sz w:val="18"/>
                <w:szCs w:val="18"/>
              </w:rPr>
            </w:pPr>
          </w:p>
        </w:tc>
        <w:tc>
          <w:tcPr>
            <w:tcW w:w="1026" w:type="dxa"/>
            <w:tcBorders>
              <w:top w:val="nil"/>
              <w:left w:val="nil"/>
              <w:bottom w:val="nil"/>
              <w:right w:val="nil"/>
            </w:tcBorders>
          </w:tcPr>
          <w:p w:rsidR="00394F34" w:rsidRPr="00CD0226" w:rsidRDefault="00394F34" w:rsidP="00675F9D">
            <w:pPr>
              <w:rPr>
                <w:sz w:val="18"/>
                <w:szCs w:val="18"/>
              </w:rPr>
            </w:pPr>
            <w:r w:rsidRPr="00CD0226">
              <w:rPr>
                <w:b/>
                <w:sz w:val="18"/>
                <w:szCs w:val="18"/>
              </w:rPr>
              <w:t>2009/10</w:t>
            </w:r>
          </w:p>
        </w:tc>
        <w:tc>
          <w:tcPr>
            <w:tcW w:w="1093" w:type="dxa"/>
            <w:tcBorders>
              <w:top w:val="nil"/>
              <w:left w:val="nil"/>
              <w:bottom w:val="nil"/>
              <w:right w:val="nil"/>
            </w:tcBorders>
          </w:tcPr>
          <w:p w:rsidR="00394F34" w:rsidRPr="00CD0226" w:rsidRDefault="00394F34" w:rsidP="00675F9D">
            <w:pPr>
              <w:jc w:val="center"/>
              <w:rPr>
                <w:sz w:val="18"/>
                <w:szCs w:val="18"/>
              </w:rPr>
            </w:pPr>
            <w:r w:rsidRPr="00CD0226">
              <w:rPr>
                <w:sz w:val="18"/>
                <w:szCs w:val="18"/>
              </w:rPr>
              <w:t>n = 180</w:t>
            </w:r>
          </w:p>
        </w:tc>
        <w:tc>
          <w:tcPr>
            <w:tcW w:w="2112" w:type="dxa"/>
            <w:tcBorders>
              <w:top w:val="nil"/>
              <w:left w:val="nil"/>
              <w:bottom w:val="nil"/>
              <w:right w:val="nil"/>
            </w:tcBorders>
          </w:tcPr>
          <w:p w:rsidR="00394F34" w:rsidRPr="00CD0226" w:rsidRDefault="00394F34" w:rsidP="00675F9D">
            <w:pPr>
              <w:jc w:val="right"/>
              <w:rPr>
                <w:sz w:val="18"/>
                <w:szCs w:val="18"/>
              </w:rPr>
            </w:pPr>
          </w:p>
        </w:tc>
        <w:tc>
          <w:tcPr>
            <w:tcW w:w="2160" w:type="dxa"/>
            <w:tcBorders>
              <w:top w:val="nil"/>
              <w:left w:val="nil"/>
              <w:bottom w:val="nil"/>
              <w:right w:val="nil"/>
            </w:tcBorders>
          </w:tcPr>
          <w:p w:rsidR="00394F34" w:rsidRPr="00CD0226" w:rsidRDefault="00394F34" w:rsidP="00675F9D">
            <w:pPr>
              <w:jc w:val="center"/>
              <w:rPr>
                <w:sz w:val="18"/>
                <w:szCs w:val="18"/>
              </w:rPr>
            </w:pPr>
          </w:p>
        </w:tc>
      </w:tr>
      <w:tr w:rsidR="00394F34" w:rsidRPr="00CD0226" w:rsidTr="00240F53">
        <w:trPr>
          <w:trHeight w:val="283"/>
          <w:jc w:val="center"/>
        </w:trPr>
        <w:tc>
          <w:tcPr>
            <w:tcW w:w="1301" w:type="dxa"/>
            <w:tcBorders>
              <w:top w:val="nil"/>
              <w:left w:val="nil"/>
              <w:bottom w:val="nil"/>
              <w:right w:val="nil"/>
            </w:tcBorders>
            <w:vAlign w:val="center"/>
          </w:tcPr>
          <w:p w:rsidR="00394F34" w:rsidRPr="00CD0226" w:rsidRDefault="00394F34" w:rsidP="00675F9D">
            <w:pPr>
              <w:pStyle w:val="NoSpacing"/>
              <w:rPr>
                <w:sz w:val="18"/>
                <w:szCs w:val="18"/>
              </w:rPr>
            </w:pPr>
          </w:p>
        </w:tc>
        <w:tc>
          <w:tcPr>
            <w:tcW w:w="1026" w:type="dxa"/>
            <w:tcBorders>
              <w:top w:val="nil"/>
              <w:left w:val="nil"/>
              <w:bottom w:val="nil"/>
              <w:right w:val="nil"/>
            </w:tcBorders>
          </w:tcPr>
          <w:p w:rsidR="00394F34" w:rsidRPr="00CD0226" w:rsidRDefault="00394F34" w:rsidP="00675F9D">
            <w:pPr>
              <w:rPr>
                <w:b/>
                <w:sz w:val="18"/>
                <w:szCs w:val="18"/>
              </w:rPr>
            </w:pPr>
          </w:p>
        </w:tc>
        <w:tc>
          <w:tcPr>
            <w:tcW w:w="1093" w:type="dxa"/>
            <w:tcBorders>
              <w:top w:val="nil"/>
              <w:left w:val="nil"/>
              <w:bottom w:val="nil"/>
              <w:right w:val="nil"/>
            </w:tcBorders>
          </w:tcPr>
          <w:p w:rsidR="00394F34" w:rsidRPr="00CD0226" w:rsidRDefault="00394F34" w:rsidP="00675F9D">
            <w:pPr>
              <w:jc w:val="center"/>
              <w:rPr>
                <w:sz w:val="18"/>
                <w:szCs w:val="18"/>
              </w:rPr>
            </w:pPr>
          </w:p>
        </w:tc>
        <w:tc>
          <w:tcPr>
            <w:tcW w:w="2112" w:type="dxa"/>
            <w:tcBorders>
              <w:top w:val="nil"/>
              <w:left w:val="nil"/>
              <w:bottom w:val="nil"/>
              <w:right w:val="nil"/>
            </w:tcBorders>
          </w:tcPr>
          <w:p w:rsidR="00394F34" w:rsidRPr="00CD0226" w:rsidRDefault="00394F34" w:rsidP="00675F9D">
            <w:pPr>
              <w:jc w:val="right"/>
              <w:rPr>
                <w:sz w:val="18"/>
                <w:szCs w:val="18"/>
              </w:rPr>
            </w:pPr>
          </w:p>
        </w:tc>
        <w:tc>
          <w:tcPr>
            <w:tcW w:w="2160" w:type="dxa"/>
            <w:tcBorders>
              <w:top w:val="nil"/>
              <w:left w:val="nil"/>
              <w:bottom w:val="nil"/>
              <w:right w:val="nil"/>
            </w:tcBorders>
          </w:tcPr>
          <w:p w:rsidR="00394F34" w:rsidRPr="00CD0226" w:rsidRDefault="00394F34" w:rsidP="00675F9D">
            <w:pPr>
              <w:jc w:val="center"/>
              <w:rPr>
                <w:b/>
                <w:sz w:val="18"/>
                <w:szCs w:val="18"/>
              </w:rPr>
            </w:pPr>
          </w:p>
        </w:tc>
      </w:tr>
      <w:tr w:rsidR="00394F34" w:rsidRPr="00CD0226" w:rsidTr="00240F53">
        <w:trPr>
          <w:trHeight w:val="283"/>
          <w:jc w:val="center"/>
        </w:trPr>
        <w:tc>
          <w:tcPr>
            <w:tcW w:w="1301" w:type="dxa"/>
            <w:tcBorders>
              <w:top w:val="nil"/>
              <w:left w:val="nil"/>
              <w:bottom w:val="nil"/>
              <w:right w:val="nil"/>
            </w:tcBorders>
            <w:vAlign w:val="center"/>
          </w:tcPr>
          <w:p w:rsidR="00394F34" w:rsidRPr="00CD0226" w:rsidRDefault="00394F34" w:rsidP="00675F9D">
            <w:pPr>
              <w:pStyle w:val="NoSpacing"/>
              <w:rPr>
                <w:sz w:val="18"/>
                <w:szCs w:val="18"/>
              </w:rPr>
            </w:pPr>
            <w:r w:rsidRPr="00CD0226">
              <w:rPr>
                <w:sz w:val="18"/>
                <w:szCs w:val="18"/>
              </w:rPr>
              <w:t xml:space="preserve">Private </w:t>
            </w:r>
          </w:p>
        </w:tc>
        <w:tc>
          <w:tcPr>
            <w:tcW w:w="1026" w:type="dxa"/>
            <w:tcBorders>
              <w:top w:val="nil"/>
              <w:left w:val="nil"/>
              <w:bottom w:val="nil"/>
              <w:right w:val="nil"/>
            </w:tcBorders>
          </w:tcPr>
          <w:p w:rsidR="00394F34" w:rsidRPr="00CD0226" w:rsidRDefault="00394F34" w:rsidP="00675F9D">
            <w:pPr>
              <w:rPr>
                <w:sz w:val="18"/>
                <w:szCs w:val="18"/>
              </w:rPr>
            </w:pPr>
            <w:r w:rsidRPr="00CD0226">
              <w:rPr>
                <w:b/>
                <w:sz w:val="18"/>
                <w:szCs w:val="18"/>
              </w:rPr>
              <w:t>2006</w:t>
            </w:r>
          </w:p>
        </w:tc>
        <w:tc>
          <w:tcPr>
            <w:tcW w:w="1093" w:type="dxa"/>
            <w:tcBorders>
              <w:top w:val="nil"/>
              <w:left w:val="nil"/>
              <w:bottom w:val="nil"/>
              <w:right w:val="nil"/>
            </w:tcBorders>
          </w:tcPr>
          <w:p w:rsidR="00394F34" w:rsidRPr="00CD0226" w:rsidRDefault="00394F34" w:rsidP="00675F9D">
            <w:pPr>
              <w:jc w:val="center"/>
              <w:rPr>
                <w:sz w:val="18"/>
                <w:szCs w:val="18"/>
              </w:rPr>
            </w:pPr>
            <w:r w:rsidRPr="00CD0226">
              <w:rPr>
                <w:sz w:val="18"/>
                <w:szCs w:val="18"/>
              </w:rPr>
              <w:t>n = 148</w:t>
            </w:r>
          </w:p>
        </w:tc>
        <w:tc>
          <w:tcPr>
            <w:tcW w:w="2112" w:type="dxa"/>
            <w:tcBorders>
              <w:top w:val="nil"/>
              <w:left w:val="nil"/>
              <w:bottom w:val="nil"/>
              <w:right w:val="nil"/>
            </w:tcBorders>
          </w:tcPr>
          <w:p w:rsidR="00394F34" w:rsidRPr="00CD0226" w:rsidRDefault="00394F34" w:rsidP="00675F9D">
            <w:pPr>
              <w:jc w:val="right"/>
              <w:rPr>
                <w:sz w:val="18"/>
                <w:szCs w:val="18"/>
              </w:rPr>
            </w:pPr>
          </w:p>
        </w:tc>
        <w:tc>
          <w:tcPr>
            <w:tcW w:w="2160" w:type="dxa"/>
            <w:tcBorders>
              <w:top w:val="nil"/>
              <w:left w:val="nil"/>
              <w:bottom w:val="nil"/>
              <w:right w:val="nil"/>
            </w:tcBorders>
          </w:tcPr>
          <w:p w:rsidR="00394F34" w:rsidRPr="00CD0226" w:rsidRDefault="00394F34" w:rsidP="00675F9D">
            <w:pPr>
              <w:jc w:val="center"/>
              <w:rPr>
                <w:b/>
                <w:sz w:val="18"/>
                <w:szCs w:val="18"/>
              </w:rPr>
            </w:pPr>
          </w:p>
        </w:tc>
      </w:tr>
      <w:tr w:rsidR="00394F34" w:rsidRPr="00CD0226" w:rsidTr="00240F53">
        <w:trPr>
          <w:trHeight w:val="283"/>
          <w:jc w:val="center"/>
        </w:trPr>
        <w:tc>
          <w:tcPr>
            <w:tcW w:w="1301" w:type="dxa"/>
            <w:tcBorders>
              <w:top w:val="nil"/>
              <w:left w:val="nil"/>
              <w:right w:val="nil"/>
            </w:tcBorders>
            <w:vAlign w:val="center"/>
          </w:tcPr>
          <w:p w:rsidR="00394F34" w:rsidRPr="00CD0226" w:rsidRDefault="00394F34" w:rsidP="00675F9D">
            <w:pPr>
              <w:pStyle w:val="NoSpacing"/>
              <w:jc w:val="center"/>
              <w:rPr>
                <w:sz w:val="18"/>
                <w:szCs w:val="18"/>
              </w:rPr>
            </w:pPr>
          </w:p>
        </w:tc>
        <w:tc>
          <w:tcPr>
            <w:tcW w:w="1026" w:type="dxa"/>
            <w:tcBorders>
              <w:top w:val="nil"/>
              <w:left w:val="nil"/>
              <w:right w:val="nil"/>
            </w:tcBorders>
          </w:tcPr>
          <w:p w:rsidR="00394F34" w:rsidRPr="00CD0226" w:rsidRDefault="00394F34" w:rsidP="00675F9D">
            <w:pPr>
              <w:rPr>
                <w:sz w:val="18"/>
                <w:szCs w:val="18"/>
              </w:rPr>
            </w:pPr>
            <w:r w:rsidRPr="00CD0226">
              <w:rPr>
                <w:b/>
                <w:sz w:val="18"/>
                <w:szCs w:val="18"/>
              </w:rPr>
              <w:t>2009/10</w:t>
            </w:r>
          </w:p>
        </w:tc>
        <w:tc>
          <w:tcPr>
            <w:tcW w:w="1093" w:type="dxa"/>
            <w:tcBorders>
              <w:top w:val="nil"/>
              <w:left w:val="nil"/>
              <w:right w:val="nil"/>
            </w:tcBorders>
          </w:tcPr>
          <w:p w:rsidR="00394F34" w:rsidRPr="00CD0226" w:rsidRDefault="00394F34" w:rsidP="00675F9D">
            <w:pPr>
              <w:jc w:val="center"/>
              <w:rPr>
                <w:sz w:val="18"/>
                <w:szCs w:val="18"/>
              </w:rPr>
            </w:pPr>
            <w:r w:rsidRPr="00CD0226">
              <w:rPr>
                <w:sz w:val="18"/>
                <w:szCs w:val="18"/>
              </w:rPr>
              <w:t>n = 233</w:t>
            </w:r>
          </w:p>
        </w:tc>
        <w:tc>
          <w:tcPr>
            <w:tcW w:w="2112" w:type="dxa"/>
            <w:tcBorders>
              <w:top w:val="nil"/>
              <w:left w:val="nil"/>
              <w:right w:val="nil"/>
            </w:tcBorders>
          </w:tcPr>
          <w:p w:rsidR="00394F34" w:rsidRPr="00CD0226" w:rsidRDefault="00394F34" w:rsidP="00675F9D">
            <w:pPr>
              <w:jc w:val="right"/>
              <w:rPr>
                <w:sz w:val="18"/>
                <w:szCs w:val="18"/>
              </w:rPr>
            </w:pPr>
          </w:p>
        </w:tc>
        <w:tc>
          <w:tcPr>
            <w:tcW w:w="2160" w:type="dxa"/>
            <w:tcBorders>
              <w:top w:val="nil"/>
              <w:left w:val="nil"/>
              <w:right w:val="nil"/>
            </w:tcBorders>
          </w:tcPr>
          <w:p w:rsidR="00394F34" w:rsidRPr="00CD0226" w:rsidRDefault="00394F34" w:rsidP="00675F9D">
            <w:pPr>
              <w:jc w:val="center"/>
              <w:rPr>
                <w:sz w:val="18"/>
                <w:szCs w:val="18"/>
              </w:rPr>
            </w:pPr>
          </w:p>
        </w:tc>
      </w:tr>
    </w:tbl>
    <w:p w:rsidR="00394F34" w:rsidRDefault="00394F34" w:rsidP="00A64765">
      <w:pPr>
        <w:contextualSpacing/>
        <w:jc w:val="both"/>
        <w:rPr>
          <w:sz w:val="22"/>
          <w:szCs w:val="22"/>
        </w:rPr>
        <w:sectPr w:rsidR="00394F34" w:rsidSect="00394F34">
          <w:type w:val="continuous"/>
          <w:pgSz w:w="12240" w:h="15840"/>
          <w:pgMar w:top="1440" w:right="1440" w:bottom="1440" w:left="1440" w:header="720" w:footer="720" w:gutter="0"/>
          <w:cols w:space="720"/>
          <w:docGrid w:linePitch="360"/>
        </w:sectPr>
      </w:pPr>
    </w:p>
    <w:p w:rsidR="00394F34" w:rsidRDefault="00394F34" w:rsidP="00A64765">
      <w:pPr>
        <w:contextualSpacing/>
        <w:jc w:val="both"/>
        <w:rPr>
          <w:sz w:val="22"/>
          <w:szCs w:val="22"/>
        </w:rPr>
      </w:pPr>
    </w:p>
    <w:p w:rsidR="00240F53" w:rsidRDefault="00240F53" w:rsidP="00A64765">
      <w:pPr>
        <w:contextualSpacing/>
        <w:jc w:val="both"/>
        <w:rPr>
          <w:sz w:val="22"/>
          <w:szCs w:val="22"/>
        </w:rPr>
      </w:pPr>
    </w:p>
    <w:p w:rsidR="00240F53" w:rsidRDefault="00240F53" w:rsidP="00A64765">
      <w:pPr>
        <w:contextualSpacing/>
        <w:jc w:val="both"/>
        <w:rPr>
          <w:sz w:val="22"/>
          <w:szCs w:val="22"/>
        </w:rPr>
      </w:pPr>
    </w:p>
    <w:p w:rsidR="00240F53" w:rsidRDefault="00240F53" w:rsidP="00A64765">
      <w:pPr>
        <w:contextualSpacing/>
        <w:jc w:val="both"/>
        <w:rPr>
          <w:sz w:val="22"/>
          <w:szCs w:val="22"/>
        </w:rPr>
        <w:sectPr w:rsidR="00240F53" w:rsidSect="00A64765">
          <w:type w:val="continuous"/>
          <w:pgSz w:w="12240" w:h="15840"/>
          <w:pgMar w:top="1440" w:right="1440" w:bottom="1440" w:left="1440" w:header="720" w:footer="720" w:gutter="0"/>
          <w:cols w:num="2" w:space="720"/>
          <w:docGrid w:linePitch="360"/>
        </w:sectPr>
      </w:pPr>
    </w:p>
    <w:p w:rsidR="00A64765" w:rsidRPr="00A64765" w:rsidRDefault="00A64765" w:rsidP="00A64765">
      <w:pPr>
        <w:contextualSpacing/>
        <w:jc w:val="both"/>
        <w:rPr>
          <w:sz w:val="22"/>
          <w:szCs w:val="22"/>
        </w:rPr>
      </w:pPr>
      <w:r w:rsidRPr="00A64765">
        <w:rPr>
          <w:sz w:val="22"/>
          <w:szCs w:val="22"/>
        </w:rPr>
        <w:lastRenderedPageBreak/>
        <w:t>81%, and 7.4%, respectively, of participating Head Start, California State and private pr</w:t>
      </w:r>
      <w:r w:rsidR="0076014E">
        <w:rPr>
          <w:sz w:val="22"/>
          <w:szCs w:val="22"/>
        </w:rPr>
        <w:t>eschool children were Hispanic.</w:t>
      </w:r>
    </w:p>
    <w:p w:rsidR="0076014E" w:rsidRDefault="0076014E" w:rsidP="00A64765">
      <w:pPr>
        <w:contextualSpacing/>
        <w:jc w:val="both"/>
        <w:rPr>
          <w:sz w:val="22"/>
          <w:szCs w:val="22"/>
        </w:rPr>
      </w:pPr>
    </w:p>
    <w:p w:rsidR="00A64765" w:rsidRPr="00A64765" w:rsidRDefault="00A64765" w:rsidP="00240F53">
      <w:pPr>
        <w:contextualSpacing/>
        <w:jc w:val="both"/>
        <w:rPr>
          <w:sz w:val="22"/>
          <w:szCs w:val="22"/>
        </w:rPr>
      </w:pPr>
      <w:r w:rsidRPr="00A64765">
        <w:rPr>
          <w:sz w:val="22"/>
          <w:szCs w:val="22"/>
        </w:rPr>
        <w:t xml:space="preserve">In the stepwise logistic regression analysis of BMI classification, the year by gender interaction (p = 0.9479) was dropped in step 1; the ethnicity by type of preschool interaction (p = 0.8993) was dropped in step 2; the ethnicity by gender interaction (p = 0.8947) was dropped in step 3; the gender by type of preschool interaction (p = 0.6564) was dropped in step 4; gender (p = 0.7031) was dropped in step 5; and finally, the year by type of preschool interaction (p = 0.4105) was dropped in step 6.  The final model contained year (p = 0.0041), ethnicity (p = 0.3607), type of preschool (p = 0.420) and the year by ethnicity interaction (p = 0.0293).  The final model fit the data best, with a minimum </w:t>
      </w:r>
      <w:proofErr w:type="spellStart"/>
      <w:r w:rsidRPr="00A64765">
        <w:rPr>
          <w:sz w:val="22"/>
          <w:szCs w:val="22"/>
        </w:rPr>
        <w:lastRenderedPageBreak/>
        <w:t>Akaike</w:t>
      </w:r>
      <w:proofErr w:type="spellEnd"/>
      <w:r w:rsidRPr="00A64765">
        <w:rPr>
          <w:sz w:val="22"/>
          <w:szCs w:val="22"/>
        </w:rPr>
        <w:t xml:space="preserve"> Information Criterion (AIC), and the </w:t>
      </w:r>
      <w:proofErr w:type="spellStart"/>
      <w:r w:rsidRPr="00A64765">
        <w:rPr>
          <w:sz w:val="22"/>
          <w:szCs w:val="22"/>
        </w:rPr>
        <w:t>Hosmer-Lemeshow</w:t>
      </w:r>
      <w:proofErr w:type="spellEnd"/>
      <w:r w:rsidRPr="00A64765">
        <w:rPr>
          <w:sz w:val="22"/>
          <w:szCs w:val="22"/>
        </w:rPr>
        <w:t xml:space="preserve"> test indicated no significant lack of fit to the data (p = 0.9995).  With a significant difference in obesity rates among the types of preschools, it was found that children enrolled in Head Start schools were 1.7 times more likely (95% CI = 1.11, 2.62) to be OW/OB than children enrolled in private preschools.  However, there were no differences in the likelihood of OW/OB in children enrolled in California State preschools, than either children enrolled in private (OR = 1.3, 95% CI = 0.87, 2.01), or Head Start schools (OR = 0.8, 95% CI = 0.93, 1.80).  Note that 78% and 81% respectively, of surveyed Head Start and California State preschool children were Hispanic, while only 7.4% of surveyed private preschool children were Hispanic.  Further investigation of the year by ethnicity interaction </w:t>
      </w:r>
      <w:r w:rsidRPr="00A64765">
        <w:rPr>
          <w:sz w:val="22"/>
          <w:szCs w:val="22"/>
        </w:rPr>
        <w:lastRenderedPageBreak/>
        <w:t>shows that in 2006, Hispanic children were no more likely to be OW/OB than Caucasian children, however, by 2009/10, Hispanic children were 1.6 times more likely (95% CI = 1.04, 2.51) to be OW/OB than Caucasian children (Figure 1).</w:t>
      </w:r>
    </w:p>
    <w:p w:rsidR="0076014E" w:rsidRDefault="0076014E" w:rsidP="00240F53">
      <w:pPr>
        <w:jc w:val="both"/>
        <w:rPr>
          <w:sz w:val="22"/>
          <w:szCs w:val="22"/>
        </w:rPr>
      </w:pPr>
    </w:p>
    <w:p w:rsidR="00A64765" w:rsidRPr="00A64765" w:rsidRDefault="00A64765" w:rsidP="00240F53">
      <w:pPr>
        <w:jc w:val="both"/>
        <w:rPr>
          <w:sz w:val="22"/>
          <w:szCs w:val="22"/>
        </w:rPr>
      </w:pPr>
      <w:r w:rsidRPr="00A64765">
        <w:rPr>
          <w:sz w:val="22"/>
          <w:szCs w:val="22"/>
        </w:rPr>
        <w:t>The logistic regression analysis of the dependent variable overweight shown in Table 1, found a significant difference in the proportion of overweight versus normal weight children only between years (p = 0.0031).  In 2009/10, children were 1.7 (95% CI: 1.19, 2.38) times more likely to be overweight than in 2006 (Table 2). No other signific</w:t>
      </w:r>
      <w:r w:rsidR="0076014E">
        <w:rPr>
          <w:sz w:val="22"/>
          <w:szCs w:val="22"/>
        </w:rPr>
        <w:t>ant differences were found.</w:t>
      </w:r>
    </w:p>
    <w:p w:rsidR="0076014E" w:rsidRDefault="0076014E" w:rsidP="00240F53">
      <w:pPr>
        <w:jc w:val="both"/>
        <w:rPr>
          <w:sz w:val="22"/>
          <w:szCs w:val="22"/>
        </w:rPr>
      </w:pPr>
    </w:p>
    <w:p w:rsidR="00A64765" w:rsidRPr="00A64765" w:rsidRDefault="00A64765" w:rsidP="00240F53">
      <w:pPr>
        <w:jc w:val="both"/>
        <w:rPr>
          <w:strike/>
          <w:sz w:val="22"/>
          <w:szCs w:val="22"/>
        </w:rPr>
      </w:pPr>
      <w:r w:rsidRPr="00A64765">
        <w:rPr>
          <w:sz w:val="22"/>
          <w:szCs w:val="22"/>
        </w:rPr>
        <w:t>The logistic regression analysis of the dependent variable obese versus overweight/normal found significant differences among the types of preschools (p = 0.0009). Children attending California State and Head Start preschools were 2.0 (95% CI: 1.31, 3.17), and 2.5 (95% CI: 1.57, 4.00) times more likely, respectively, to be obese than children attending private preschools. Head Start preschool children were no more likely to be obese than children attending California State preschools. A significant interaction between year and ethnicity (p = 0.0233) was also found for obese. In 2006, Hispanic children were no more likely to be obese than Caucasian children, however, by 2009/10 Hispanic children were 2.7 times more likely (95% CI = 1.68, 4.57) to be obese than Caucasian children (Table 2). No other significant differences were found (p &gt; 0.05 in all cases).</w:t>
      </w:r>
    </w:p>
    <w:p w:rsidR="0076014E" w:rsidRDefault="0076014E" w:rsidP="00240F53">
      <w:pPr>
        <w:jc w:val="both"/>
        <w:rPr>
          <w:b/>
          <w:sz w:val="22"/>
          <w:szCs w:val="22"/>
        </w:rPr>
      </w:pPr>
    </w:p>
    <w:p w:rsidR="00A64765" w:rsidRPr="00A64765" w:rsidRDefault="00A64765" w:rsidP="00240F53">
      <w:pPr>
        <w:spacing w:line="360" w:lineRule="auto"/>
        <w:jc w:val="center"/>
        <w:rPr>
          <w:b/>
          <w:sz w:val="22"/>
          <w:szCs w:val="22"/>
        </w:rPr>
      </w:pPr>
      <w:r w:rsidRPr="00A64765">
        <w:rPr>
          <w:b/>
          <w:sz w:val="22"/>
          <w:szCs w:val="22"/>
        </w:rPr>
        <w:t>Discussion</w:t>
      </w:r>
    </w:p>
    <w:p w:rsidR="00240F53" w:rsidRDefault="00A64765" w:rsidP="00240F53">
      <w:pPr>
        <w:spacing w:before="120"/>
        <w:jc w:val="both"/>
        <w:rPr>
          <w:sz w:val="22"/>
          <w:szCs w:val="22"/>
        </w:rPr>
      </w:pPr>
      <w:r w:rsidRPr="00A64765">
        <w:rPr>
          <w:sz w:val="22"/>
          <w:szCs w:val="22"/>
        </w:rPr>
        <w:t>This study was conducted within a fairly small, rural geographic county that includes financially and socially disparate populations.  We present valuable information about the weight status of preschool aged children in San Luis Obispo County</w:t>
      </w:r>
      <w:r w:rsidR="0076014E">
        <w:rPr>
          <w:sz w:val="22"/>
          <w:szCs w:val="22"/>
        </w:rPr>
        <w:t xml:space="preserve">. </w:t>
      </w:r>
      <w:r w:rsidRPr="00A64765">
        <w:rPr>
          <w:sz w:val="22"/>
          <w:szCs w:val="22"/>
        </w:rPr>
        <w:t xml:space="preserve">In 2006, 26.4% and in 2009/10, 34.8% of SLO County preschool children were OW/OB compared to 33.6% of children ages 2-5 years in California and almost 25% in the United States (Department of Health Services, 2008; Ogden, </w:t>
      </w:r>
    </w:p>
    <w:p w:rsidR="00A64765" w:rsidRDefault="00A64765" w:rsidP="00240F53">
      <w:pPr>
        <w:spacing w:before="120"/>
        <w:jc w:val="both"/>
        <w:rPr>
          <w:sz w:val="22"/>
          <w:szCs w:val="22"/>
        </w:rPr>
      </w:pPr>
      <w:r w:rsidRPr="00A64765">
        <w:rPr>
          <w:sz w:val="22"/>
          <w:szCs w:val="22"/>
        </w:rPr>
        <w:lastRenderedPageBreak/>
        <w:t xml:space="preserve">Carroll, Curtin, Lamb &amp; </w:t>
      </w:r>
      <w:proofErr w:type="spellStart"/>
      <w:r w:rsidRPr="00A64765">
        <w:rPr>
          <w:sz w:val="22"/>
          <w:szCs w:val="22"/>
        </w:rPr>
        <w:t>Flegal</w:t>
      </w:r>
      <w:proofErr w:type="spellEnd"/>
      <w:r w:rsidRPr="00A64765">
        <w:rPr>
          <w:sz w:val="22"/>
          <w:szCs w:val="22"/>
        </w:rPr>
        <w:t>, 2010).</w:t>
      </w:r>
      <w:r w:rsidR="0076014E">
        <w:rPr>
          <w:sz w:val="22"/>
          <w:szCs w:val="22"/>
        </w:rPr>
        <w:t xml:space="preserve"> </w:t>
      </w:r>
      <w:r w:rsidRPr="00A64765">
        <w:rPr>
          <w:sz w:val="22"/>
          <w:szCs w:val="22"/>
        </w:rPr>
        <w:t>The proportion of SLO County preschool children who were overweight or obese increased by 32.3% between 2006 and 2009/10, and Hispanic children and those who attended Head Start and California State preschool programs were disproportionately affected. This disparity has emerged over a very short period of time.  In 2006 Hispanic preschoolers were no more likely to be OW/OB than Caucasian preschoolers, but by 2009/10 were 2.7 times more likely to be obese</w:t>
      </w:r>
      <w:r w:rsidR="0076014E">
        <w:rPr>
          <w:sz w:val="22"/>
          <w:szCs w:val="22"/>
        </w:rPr>
        <w:t xml:space="preserve">. </w:t>
      </w:r>
      <w:r w:rsidRPr="00A64765">
        <w:rPr>
          <w:sz w:val="22"/>
          <w:szCs w:val="22"/>
        </w:rPr>
        <w:t>It is important to note that nearly all the Hispanic children (92.6%) in our sample attended Head Start and California State preschools that require income eligibility for enrollment, while Caucasian children were more likely</w:t>
      </w:r>
      <w:r w:rsidR="00240F53">
        <w:rPr>
          <w:sz w:val="22"/>
          <w:szCs w:val="22"/>
        </w:rPr>
        <w:t xml:space="preserve"> to attend private preschools. </w:t>
      </w:r>
      <w:r w:rsidRPr="00A64765">
        <w:rPr>
          <w:sz w:val="22"/>
          <w:szCs w:val="22"/>
        </w:rPr>
        <w:t xml:space="preserve">This fact exerted a strong influence on the differences in OW/OB rates found among </w:t>
      </w:r>
      <w:r w:rsidR="00240F53">
        <w:rPr>
          <w:sz w:val="22"/>
          <w:szCs w:val="22"/>
        </w:rPr>
        <w:t>the different types of schools.</w:t>
      </w:r>
      <w:r w:rsidRPr="00A64765">
        <w:rPr>
          <w:sz w:val="22"/>
          <w:szCs w:val="22"/>
        </w:rPr>
        <w:t xml:space="preserve"> Compared to private schools, Head Start preschool children were 2.5 times more likely to be obese, while those attending California State preschools were twice as likely.</w:t>
      </w:r>
    </w:p>
    <w:p w:rsidR="0076014E" w:rsidRDefault="0076014E" w:rsidP="00240F53">
      <w:pPr>
        <w:jc w:val="both"/>
        <w:rPr>
          <w:sz w:val="22"/>
          <w:szCs w:val="22"/>
        </w:rPr>
      </w:pPr>
    </w:p>
    <w:p w:rsidR="00A64765" w:rsidRPr="00A64765" w:rsidRDefault="00A64765" w:rsidP="00240F53">
      <w:pPr>
        <w:jc w:val="both"/>
        <w:rPr>
          <w:sz w:val="22"/>
          <w:szCs w:val="22"/>
        </w:rPr>
      </w:pPr>
      <w:r w:rsidRPr="00A64765">
        <w:rPr>
          <w:sz w:val="22"/>
          <w:szCs w:val="22"/>
        </w:rPr>
        <w:t>One limitation of the study is the fact that teachers, not parents, reported race/ethnicity of the child.  However, given the close relationship these pre-school teachers had with the families and the fact many speak Spanish, it is reasonable to believe race/ethnicity were properly identified.</w:t>
      </w:r>
    </w:p>
    <w:p w:rsidR="0076014E" w:rsidRDefault="0076014E" w:rsidP="00240F53">
      <w:pPr>
        <w:jc w:val="both"/>
        <w:rPr>
          <w:sz w:val="22"/>
          <w:szCs w:val="22"/>
        </w:rPr>
      </w:pPr>
    </w:p>
    <w:p w:rsidR="00A64765" w:rsidRPr="00A64765" w:rsidRDefault="00A64765" w:rsidP="00240F53">
      <w:pPr>
        <w:jc w:val="both"/>
        <w:rPr>
          <w:sz w:val="22"/>
          <w:szCs w:val="22"/>
        </w:rPr>
      </w:pPr>
      <w:r w:rsidRPr="00A64765">
        <w:rPr>
          <w:sz w:val="22"/>
          <w:szCs w:val="22"/>
        </w:rPr>
        <w:t xml:space="preserve">The early development of weight-related health risk factors in overweight and obese children (Barton, Gilbert, </w:t>
      </w:r>
      <w:proofErr w:type="spellStart"/>
      <w:r w:rsidRPr="00A64765">
        <w:rPr>
          <w:sz w:val="22"/>
          <w:szCs w:val="22"/>
        </w:rPr>
        <w:t>Baramee</w:t>
      </w:r>
      <w:proofErr w:type="spellEnd"/>
      <w:r w:rsidRPr="00A64765">
        <w:rPr>
          <w:sz w:val="22"/>
          <w:szCs w:val="22"/>
        </w:rPr>
        <w:t xml:space="preserve"> &amp; Granger, 2006; </w:t>
      </w:r>
      <w:proofErr w:type="spellStart"/>
      <w:r w:rsidRPr="00A64765">
        <w:rPr>
          <w:sz w:val="22"/>
          <w:szCs w:val="22"/>
        </w:rPr>
        <w:t>Diamont</w:t>
      </w:r>
      <w:proofErr w:type="spellEnd"/>
      <w:r w:rsidRPr="00A64765">
        <w:rPr>
          <w:sz w:val="22"/>
          <w:szCs w:val="22"/>
        </w:rPr>
        <w:t xml:space="preserve">, </w:t>
      </w:r>
      <w:proofErr w:type="spellStart"/>
      <w:r w:rsidRPr="00A64765">
        <w:rPr>
          <w:sz w:val="22"/>
          <w:szCs w:val="22"/>
        </w:rPr>
        <w:t>Babey</w:t>
      </w:r>
      <w:proofErr w:type="spellEnd"/>
      <w:r w:rsidRPr="00A64765">
        <w:rPr>
          <w:sz w:val="22"/>
          <w:szCs w:val="22"/>
        </w:rPr>
        <w:t xml:space="preserve">, </w:t>
      </w:r>
      <w:proofErr w:type="spellStart"/>
      <w:r w:rsidRPr="00A64765">
        <w:rPr>
          <w:sz w:val="22"/>
          <w:szCs w:val="22"/>
        </w:rPr>
        <w:t>Wolstein</w:t>
      </w:r>
      <w:proofErr w:type="spellEnd"/>
      <w:r w:rsidRPr="00A64765">
        <w:rPr>
          <w:sz w:val="22"/>
          <w:szCs w:val="22"/>
        </w:rPr>
        <w:t xml:space="preserve"> &amp; Jones, 2010), and the strong relationship between high childhood BMI and excess bodyweight in young adulthood (</w:t>
      </w:r>
      <w:proofErr w:type="spellStart"/>
      <w:r w:rsidRPr="00A64765">
        <w:rPr>
          <w:sz w:val="22"/>
          <w:szCs w:val="22"/>
        </w:rPr>
        <w:t>Brisbois</w:t>
      </w:r>
      <w:proofErr w:type="spellEnd"/>
      <w:r w:rsidRPr="00A64765">
        <w:rPr>
          <w:sz w:val="22"/>
          <w:szCs w:val="22"/>
        </w:rPr>
        <w:t xml:space="preserve">, Farmer &amp; </w:t>
      </w:r>
      <w:proofErr w:type="spellStart"/>
      <w:r w:rsidRPr="00A64765">
        <w:rPr>
          <w:sz w:val="22"/>
          <w:szCs w:val="22"/>
        </w:rPr>
        <w:t>McCargar</w:t>
      </w:r>
      <w:proofErr w:type="spellEnd"/>
      <w:r w:rsidRPr="00A64765">
        <w:rPr>
          <w:sz w:val="22"/>
          <w:szCs w:val="22"/>
        </w:rPr>
        <w:t>, 2011) are of great concern on many fronts.  Not only do we have an immediate public health crisis on our hands, but also the foreseeable future for these children and their families will be impacted unless we are able to quick</w:t>
      </w:r>
      <w:r w:rsidR="0076014E">
        <w:rPr>
          <w:sz w:val="22"/>
          <w:szCs w:val="22"/>
        </w:rPr>
        <w:t>ly and successfully intervene.</w:t>
      </w:r>
    </w:p>
    <w:p w:rsidR="0076014E" w:rsidRDefault="0076014E" w:rsidP="00240F53">
      <w:pPr>
        <w:jc w:val="both"/>
        <w:rPr>
          <w:sz w:val="22"/>
          <w:szCs w:val="22"/>
        </w:rPr>
      </w:pPr>
    </w:p>
    <w:p w:rsidR="00240F53" w:rsidRDefault="00A64765" w:rsidP="00240F53">
      <w:pPr>
        <w:jc w:val="both"/>
        <w:rPr>
          <w:sz w:val="22"/>
          <w:szCs w:val="22"/>
        </w:rPr>
      </w:pPr>
      <w:r w:rsidRPr="00A64765">
        <w:rPr>
          <w:sz w:val="22"/>
          <w:szCs w:val="22"/>
        </w:rPr>
        <w:t xml:space="preserve">Our findings are consistent with others and suggest a considerable ethnic/racial disparity in obesity rates in children (Anderson &amp; Whitaker, 2009; Wang &amp; </w:t>
      </w:r>
      <w:proofErr w:type="spellStart"/>
      <w:r w:rsidRPr="00A64765">
        <w:rPr>
          <w:sz w:val="22"/>
          <w:szCs w:val="22"/>
        </w:rPr>
        <w:t>Beydoun</w:t>
      </w:r>
      <w:proofErr w:type="spellEnd"/>
      <w:r w:rsidRPr="00A64765">
        <w:rPr>
          <w:sz w:val="22"/>
          <w:szCs w:val="22"/>
        </w:rPr>
        <w:t>, 2007).</w:t>
      </w:r>
      <w:r w:rsidR="0076014E">
        <w:rPr>
          <w:sz w:val="22"/>
          <w:szCs w:val="22"/>
        </w:rPr>
        <w:t xml:space="preserve"> </w:t>
      </w:r>
      <w:r w:rsidRPr="00A64765">
        <w:rPr>
          <w:sz w:val="22"/>
          <w:szCs w:val="22"/>
        </w:rPr>
        <w:t xml:space="preserve">The impact </w:t>
      </w:r>
    </w:p>
    <w:p w:rsidR="00240F53" w:rsidRDefault="00240F53" w:rsidP="00240F53">
      <w:pPr>
        <w:jc w:val="both"/>
        <w:rPr>
          <w:sz w:val="22"/>
          <w:szCs w:val="22"/>
        </w:rPr>
      </w:pPr>
    </w:p>
    <w:p w:rsidR="00240F53" w:rsidRDefault="00A64765" w:rsidP="00240F53">
      <w:pPr>
        <w:jc w:val="both"/>
        <w:rPr>
          <w:sz w:val="22"/>
          <w:szCs w:val="22"/>
        </w:rPr>
      </w:pPr>
      <w:proofErr w:type="gramStart"/>
      <w:r w:rsidRPr="00A64765">
        <w:rPr>
          <w:sz w:val="22"/>
          <w:szCs w:val="22"/>
        </w:rPr>
        <w:lastRenderedPageBreak/>
        <w:t>race</w:t>
      </w:r>
      <w:proofErr w:type="gramEnd"/>
      <w:r w:rsidRPr="00A64765">
        <w:rPr>
          <w:sz w:val="22"/>
          <w:szCs w:val="22"/>
        </w:rPr>
        <w:t xml:space="preserve">/ethnicity, socioeconomic status, or a host of </w:t>
      </w:r>
    </w:p>
    <w:p w:rsidR="00A64765" w:rsidRPr="00A64765" w:rsidRDefault="00A64765" w:rsidP="00240F53">
      <w:pPr>
        <w:jc w:val="both"/>
        <w:rPr>
          <w:sz w:val="22"/>
          <w:szCs w:val="22"/>
        </w:rPr>
      </w:pPr>
      <w:proofErr w:type="gramStart"/>
      <w:r w:rsidRPr="00A64765">
        <w:rPr>
          <w:sz w:val="22"/>
          <w:szCs w:val="22"/>
        </w:rPr>
        <w:t>modifiable</w:t>
      </w:r>
      <w:proofErr w:type="gramEnd"/>
      <w:r w:rsidRPr="00A64765">
        <w:rPr>
          <w:sz w:val="22"/>
          <w:szCs w:val="22"/>
        </w:rPr>
        <w:t xml:space="preserve"> factors such as dietary patterns, physical activity, sleep and stress may play in this scenario need to be better understood as they relate to the development of overweight and obesity in young children</w:t>
      </w:r>
      <w:r w:rsidR="0076014E">
        <w:rPr>
          <w:sz w:val="22"/>
          <w:szCs w:val="22"/>
        </w:rPr>
        <w:t xml:space="preserve">. </w:t>
      </w:r>
      <w:r w:rsidRPr="00A64765">
        <w:rPr>
          <w:sz w:val="22"/>
          <w:szCs w:val="22"/>
        </w:rPr>
        <w:t xml:space="preserve">On a positive note, these </w:t>
      </w:r>
      <w:r w:rsidR="00240F53">
        <w:rPr>
          <w:sz w:val="22"/>
          <w:szCs w:val="22"/>
        </w:rPr>
        <w:t xml:space="preserve">findings also offer a window of </w:t>
      </w:r>
      <w:r w:rsidRPr="00A64765">
        <w:rPr>
          <w:sz w:val="22"/>
          <w:szCs w:val="22"/>
        </w:rPr>
        <w:t>opportunity for intervention, since we now have identified a specific vulnerable population (Hispanic preschoolers and their families) and location (Head Start and California State preschools) to target.</w:t>
      </w:r>
    </w:p>
    <w:p w:rsidR="0076014E" w:rsidRDefault="0076014E" w:rsidP="0076014E">
      <w:pPr>
        <w:jc w:val="both"/>
        <w:rPr>
          <w:sz w:val="22"/>
          <w:szCs w:val="22"/>
        </w:rPr>
      </w:pPr>
    </w:p>
    <w:p w:rsidR="00A64765" w:rsidRPr="00A64765" w:rsidRDefault="00A64765" w:rsidP="0076014E">
      <w:pPr>
        <w:jc w:val="both"/>
        <w:rPr>
          <w:sz w:val="22"/>
          <w:szCs w:val="22"/>
        </w:rPr>
      </w:pPr>
      <w:r w:rsidRPr="00A64765">
        <w:rPr>
          <w:sz w:val="22"/>
          <w:szCs w:val="22"/>
        </w:rPr>
        <w:t xml:space="preserve">This study was a cross-sectional assessment of BMI among ~25% of the county’s preschoolers.  Plans for the 2013 county assessment include systematic efforts to include a greater number of preschool children, including a stronger representation of private preschools </w:t>
      </w:r>
      <w:r w:rsidR="00240F53">
        <w:rPr>
          <w:sz w:val="22"/>
          <w:szCs w:val="22"/>
        </w:rPr>
        <w:t xml:space="preserve">and home schooled children. </w:t>
      </w:r>
      <w:r w:rsidRPr="00A64765">
        <w:rPr>
          <w:sz w:val="22"/>
          <w:szCs w:val="22"/>
        </w:rPr>
        <w:t>Longitudinal studies beginning at age three would identify how early in life overweight and obesity occurs in San Luis Obispo County, and the factors associated</w:t>
      </w:r>
      <w:r w:rsidRPr="00A64765" w:rsidDel="003610E9">
        <w:rPr>
          <w:sz w:val="22"/>
          <w:szCs w:val="22"/>
        </w:rPr>
        <w:t xml:space="preserve"> </w:t>
      </w:r>
      <w:r w:rsidRPr="00A64765">
        <w:rPr>
          <w:sz w:val="22"/>
          <w:szCs w:val="22"/>
        </w:rPr>
        <w:t>with shifts in BMI between the ages of 3 – 5 years.</w:t>
      </w:r>
    </w:p>
    <w:p w:rsidR="0076014E" w:rsidRDefault="0076014E" w:rsidP="00A64765">
      <w:pPr>
        <w:spacing w:before="120" w:after="120"/>
        <w:jc w:val="both"/>
        <w:rPr>
          <w:sz w:val="22"/>
          <w:szCs w:val="22"/>
        </w:rPr>
      </w:pPr>
    </w:p>
    <w:p w:rsidR="00A64765" w:rsidRDefault="00A64765" w:rsidP="00A64765">
      <w:pPr>
        <w:spacing w:before="120" w:after="120"/>
        <w:jc w:val="both"/>
        <w:rPr>
          <w:sz w:val="22"/>
          <w:szCs w:val="22"/>
        </w:rPr>
        <w:sectPr w:rsidR="00A64765" w:rsidSect="00A64765">
          <w:type w:val="continuous"/>
          <w:pgSz w:w="12240" w:h="15840"/>
          <w:pgMar w:top="1440" w:right="1440" w:bottom="1440" w:left="1440" w:header="720" w:footer="720" w:gutter="0"/>
          <w:cols w:num="2" w:space="720"/>
          <w:docGrid w:linePitch="360"/>
        </w:sectPr>
      </w:pPr>
      <w:r w:rsidRPr="00A64765">
        <w:rPr>
          <w:sz w:val="22"/>
          <w:szCs w:val="22"/>
        </w:rPr>
        <w:lastRenderedPageBreak/>
        <w:t>To insure that optimal quality of life becomes a reality for all children, tackling the complexity of the obesity epidemic requires we intervene simultaneously in each aspect of the environment – the home, school, community – and understand how to best support the n</w:t>
      </w:r>
      <w:r w:rsidR="0076014E">
        <w:rPr>
          <w:sz w:val="22"/>
          <w:szCs w:val="22"/>
        </w:rPr>
        <w:t xml:space="preserve">eeds of different populations. </w:t>
      </w:r>
      <w:r w:rsidRPr="00A64765">
        <w:rPr>
          <w:sz w:val="22"/>
          <w:szCs w:val="22"/>
        </w:rPr>
        <w:t xml:space="preserve">Policy development within the county can facilitate and support the personal behaviors required for a healthy life, including sound nutrition and physical activity habits.  Preschools can play a vital role in improving the physical health, and cognitive and social-emotional development of children through the environment provided on a daily </w:t>
      </w:r>
      <w:r w:rsidR="0076014E">
        <w:rPr>
          <w:sz w:val="22"/>
          <w:szCs w:val="22"/>
        </w:rPr>
        <w:t xml:space="preserve">basis. </w:t>
      </w:r>
      <w:r w:rsidRPr="00A64765">
        <w:rPr>
          <w:sz w:val="22"/>
          <w:szCs w:val="22"/>
        </w:rPr>
        <w:t>This includes decisions about the food and beverages provided, and providing an environment that increases physical activity and decreases time spent sedentary. Culturally appropriate and effective interventions designed to meet the needs of populations disproportionately affected by OW/OB in childhood are imperative.  In our population, Head Start and California State preschools seem to offer the logical site for such interventions.</w:t>
      </w:r>
    </w:p>
    <w:p w:rsidR="00A64765" w:rsidRPr="00B97B60" w:rsidRDefault="00A64765" w:rsidP="00A64765">
      <w:pPr>
        <w:spacing w:before="120" w:after="120" w:line="480" w:lineRule="auto"/>
      </w:pPr>
      <w:r w:rsidRPr="002C26FE">
        <w:lastRenderedPageBreak/>
        <w:tab/>
      </w:r>
    </w:p>
    <w:p w:rsidR="0076014E" w:rsidRPr="003820F8" w:rsidRDefault="0076014E" w:rsidP="003820F8">
      <w:pPr>
        <w:rPr>
          <w:b/>
          <w:sz w:val="22"/>
          <w:szCs w:val="22"/>
        </w:rPr>
      </w:pPr>
      <w:r w:rsidRPr="00377FEF">
        <w:rPr>
          <w:b/>
          <w:sz w:val="22"/>
          <w:szCs w:val="22"/>
        </w:rPr>
        <w:t>References</w:t>
      </w:r>
      <w:bookmarkStart w:id="0" w:name="_GoBack"/>
      <w:bookmarkEnd w:id="0"/>
    </w:p>
    <w:p w:rsidR="0076014E" w:rsidRPr="00377FEF" w:rsidRDefault="0076014E" w:rsidP="00377FEF">
      <w:pPr>
        <w:ind w:left="720" w:hanging="720"/>
        <w:rPr>
          <w:sz w:val="22"/>
          <w:szCs w:val="22"/>
        </w:rPr>
      </w:pPr>
      <w:r w:rsidRPr="00377FEF">
        <w:rPr>
          <w:sz w:val="22"/>
          <w:szCs w:val="22"/>
        </w:rPr>
        <w:t>Anderson</w:t>
      </w:r>
      <w:r w:rsidR="007F1C4E">
        <w:rPr>
          <w:sz w:val="22"/>
          <w:szCs w:val="22"/>
        </w:rPr>
        <w:t>, S.E. &amp; Whitaker, R.C. (2009).</w:t>
      </w:r>
      <w:r w:rsidRPr="00377FEF">
        <w:rPr>
          <w:sz w:val="22"/>
          <w:szCs w:val="22"/>
        </w:rPr>
        <w:t xml:space="preserve"> </w:t>
      </w:r>
      <w:proofErr w:type="gramStart"/>
      <w:r w:rsidRPr="00377FEF">
        <w:rPr>
          <w:sz w:val="22"/>
          <w:szCs w:val="22"/>
        </w:rPr>
        <w:t>Prevalence</w:t>
      </w:r>
      <w:r w:rsidR="007F1C4E">
        <w:rPr>
          <w:sz w:val="22"/>
          <w:szCs w:val="22"/>
        </w:rPr>
        <w:t xml:space="preserve"> of obesity among US preschool </w:t>
      </w:r>
      <w:r w:rsidRPr="00377FEF">
        <w:rPr>
          <w:sz w:val="22"/>
          <w:szCs w:val="22"/>
        </w:rPr>
        <w:t>children in different racial and ethnic groups.</w:t>
      </w:r>
      <w:proofErr w:type="gramEnd"/>
      <w:r w:rsidRPr="00377FEF">
        <w:rPr>
          <w:sz w:val="22"/>
          <w:szCs w:val="22"/>
        </w:rPr>
        <w:t xml:space="preserve">  </w:t>
      </w:r>
      <w:r w:rsidRPr="00377FEF">
        <w:rPr>
          <w:i/>
          <w:sz w:val="22"/>
          <w:szCs w:val="22"/>
        </w:rPr>
        <w:t>Archi</w:t>
      </w:r>
      <w:r w:rsidR="007F1C4E">
        <w:rPr>
          <w:i/>
          <w:sz w:val="22"/>
          <w:szCs w:val="22"/>
        </w:rPr>
        <w:t xml:space="preserve">ves of Pediatrics &amp; Adolescent </w:t>
      </w:r>
      <w:r w:rsidRPr="00377FEF">
        <w:rPr>
          <w:i/>
          <w:sz w:val="22"/>
          <w:szCs w:val="22"/>
        </w:rPr>
        <w:t>Medicine</w:t>
      </w:r>
      <w:r w:rsidRPr="00377FEF">
        <w:rPr>
          <w:sz w:val="22"/>
          <w:szCs w:val="22"/>
        </w:rPr>
        <w:t>, 163(4), 344-348.</w:t>
      </w:r>
    </w:p>
    <w:p w:rsidR="0076014E" w:rsidRPr="00377FEF" w:rsidRDefault="0076014E" w:rsidP="00377FEF">
      <w:pPr>
        <w:ind w:left="720" w:hanging="720"/>
        <w:rPr>
          <w:sz w:val="22"/>
          <w:szCs w:val="22"/>
        </w:rPr>
      </w:pPr>
      <w:proofErr w:type="gramStart"/>
      <w:r w:rsidRPr="00377FEF">
        <w:rPr>
          <w:sz w:val="22"/>
          <w:szCs w:val="22"/>
        </w:rPr>
        <w:t xml:space="preserve">Barton, A.J., Gilbert, L., </w:t>
      </w:r>
      <w:proofErr w:type="spellStart"/>
      <w:r w:rsidRPr="00377FEF">
        <w:rPr>
          <w:sz w:val="22"/>
          <w:szCs w:val="22"/>
        </w:rPr>
        <w:t>Baramee</w:t>
      </w:r>
      <w:proofErr w:type="spellEnd"/>
      <w:r w:rsidRPr="00377FEF">
        <w:rPr>
          <w:sz w:val="22"/>
          <w:szCs w:val="22"/>
        </w:rPr>
        <w:t>, J. &amp; Granger, T. (2006).</w:t>
      </w:r>
      <w:proofErr w:type="gramEnd"/>
      <w:r w:rsidRPr="00377FEF">
        <w:rPr>
          <w:sz w:val="22"/>
          <w:szCs w:val="22"/>
        </w:rPr>
        <w:t xml:space="preserve">  </w:t>
      </w:r>
      <w:proofErr w:type="gramStart"/>
      <w:r w:rsidRPr="00377FEF">
        <w:rPr>
          <w:sz w:val="22"/>
          <w:szCs w:val="22"/>
        </w:rPr>
        <w:t xml:space="preserve">Cardiovascular risk in Hispanic and </w:t>
      </w:r>
      <w:r w:rsidRPr="00377FEF">
        <w:rPr>
          <w:sz w:val="22"/>
          <w:szCs w:val="22"/>
        </w:rPr>
        <w:tab/>
        <w:t>non-Hispanic preschoolers.</w:t>
      </w:r>
      <w:proofErr w:type="gramEnd"/>
      <w:r w:rsidRPr="00377FEF">
        <w:rPr>
          <w:sz w:val="22"/>
          <w:szCs w:val="22"/>
        </w:rPr>
        <w:t xml:space="preserve">  </w:t>
      </w:r>
      <w:r w:rsidRPr="00377FEF">
        <w:rPr>
          <w:i/>
          <w:sz w:val="22"/>
          <w:szCs w:val="22"/>
        </w:rPr>
        <w:t>Nursing Research</w:t>
      </w:r>
      <w:r w:rsidRPr="00377FEF">
        <w:rPr>
          <w:sz w:val="22"/>
          <w:szCs w:val="22"/>
        </w:rPr>
        <w:t>, 55(3), 172-179.</w:t>
      </w:r>
    </w:p>
    <w:p w:rsidR="0076014E" w:rsidRPr="00377FEF" w:rsidRDefault="0076014E" w:rsidP="00377FEF">
      <w:pPr>
        <w:ind w:left="720" w:hanging="720"/>
        <w:rPr>
          <w:sz w:val="22"/>
          <w:szCs w:val="22"/>
        </w:rPr>
      </w:pPr>
      <w:proofErr w:type="spellStart"/>
      <w:r w:rsidRPr="00377FEF">
        <w:rPr>
          <w:sz w:val="22"/>
          <w:szCs w:val="22"/>
        </w:rPr>
        <w:t>Brisbois</w:t>
      </w:r>
      <w:proofErr w:type="spellEnd"/>
      <w:r w:rsidRPr="00377FEF">
        <w:rPr>
          <w:sz w:val="22"/>
          <w:szCs w:val="22"/>
        </w:rPr>
        <w:t xml:space="preserve">, T.D., Farmer, A. P., &amp; </w:t>
      </w:r>
      <w:proofErr w:type="spellStart"/>
      <w:r w:rsidRPr="00377FEF">
        <w:rPr>
          <w:sz w:val="22"/>
          <w:szCs w:val="22"/>
        </w:rPr>
        <w:t>McCarger</w:t>
      </w:r>
      <w:proofErr w:type="spellEnd"/>
      <w:r w:rsidRPr="00377FEF">
        <w:rPr>
          <w:sz w:val="22"/>
          <w:szCs w:val="22"/>
        </w:rPr>
        <w:t>, L.J. (2011).  Early markers of adul</w:t>
      </w:r>
      <w:r w:rsidR="007F1C4E">
        <w:rPr>
          <w:sz w:val="22"/>
          <w:szCs w:val="22"/>
        </w:rPr>
        <w:t xml:space="preserve">t obesity: a </w:t>
      </w:r>
      <w:r w:rsidRPr="00377FEF">
        <w:rPr>
          <w:sz w:val="22"/>
          <w:szCs w:val="22"/>
        </w:rPr>
        <w:t xml:space="preserve">review. </w:t>
      </w:r>
      <w:r w:rsidRPr="00377FEF">
        <w:rPr>
          <w:i/>
          <w:sz w:val="22"/>
          <w:szCs w:val="22"/>
        </w:rPr>
        <w:t>Obesity Reviews,</w:t>
      </w:r>
      <w:r w:rsidRPr="00377FEF">
        <w:rPr>
          <w:sz w:val="22"/>
          <w:szCs w:val="22"/>
        </w:rPr>
        <w:t xml:space="preserve"> </w:t>
      </w:r>
      <w:proofErr w:type="spellStart"/>
      <w:r w:rsidRPr="00377FEF">
        <w:rPr>
          <w:sz w:val="22"/>
          <w:szCs w:val="22"/>
        </w:rPr>
        <w:t>doi</w:t>
      </w:r>
      <w:proofErr w:type="spellEnd"/>
      <w:r w:rsidRPr="00377FEF">
        <w:rPr>
          <w:sz w:val="22"/>
          <w:szCs w:val="22"/>
        </w:rPr>
        <w:t>: 10.1111/j.1467-789X.2011.00965.x</w:t>
      </w:r>
    </w:p>
    <w:p w:rsidR="0076014E" w:rsidRPr="00377FEF" w:rsidRDefault="0076014E" w:rsidP="00377FEF">
      <w:pPr>
        <w:ind w:left="720" w:hanging="720"/>
        <w:rPr>
          <w:sz w:val="22"/>
          <w:szCs w:val="22"/>
        </w:rPr>
      </w:pPr>
      <w:proofErr w:type="gramStart"/>
      <w:r w:rsidRPr="00377FEF">
        <w:rPr>
          <w:sz w:val="22"/>
          <w:szCs w:val="22"/>
        </w:rPr>
        <w:t>California Head Start Association.</w:t>
      </w:r>
      <w:proofErr w:type="gramEnd"/>
      <w:r w:rsidRPr="00377FEF">
        <w:rPr>
          <w:sz w:val="22"/>
          <w:szCs w:val="22"/>
        </w:rPr>
        <w:t xml:space="preserve"> Retrieved from: http://caheadstart.org/HSPrograms.html</w:t>
      </w:r>
    </w:p>
    <w:p w:rsidR="0076014E" w:rsidRPr="00377FEF" w:rsidRDefault="0076014E" w:rsidP="00377FE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contextualSpacing/>
        <w:rPr>
          <w:rFonts w:eastAsia="Cambria"/>
          <w:sz w:val="22"/>
          <w:szCs w:val="22"/>
        </w:rPr>
      </w:pPr>
      <w:r w:rsidRPr="00377FEF">
        <w:rPr>
          <w:rFonts w:eastAsia="Cambria" w:cs="Arial"/>
          <w:color w:val="000000"/>
          <w:sz w:val="22"/>
          <w:szCs w:val="22"/>
        </w:rPr>
        <w:t xml:space="preserve">Department of Health Services, Children’s Medical Services Branch, CHDP Program (2008). </w:t>
      </w:r>
      <w:proofErr w:type="gramStart"/>
      <w:r w:rsidRPr="00377FEF">
        <w:rPr>
          <w:rFonts w:eastAsia="Cambria" w:cs="Arial"/>
          <w:i/>
          <w:iCs/>
          <w:color w:val="000000"/>
          <w:sz w:val="22"/>
          <w:szCs w:val="22"/>
        </w:rPr>
        <w:t xml:space="preserve">Pediatric Nutrition Surveillance System </w:t>
      </w:r>
      <w:r w:rsidRPr="00377FEF">
        <w:rPr>
          <w:rFonts w:eastAsia="Cambria" w:cs="Arial"/>
          <w:color w:val="000000"/>
          <w:sz w:val="22"/>
          <w:szCs w:val="22"/>
        </w:rPr>
        <w:t>(</w:t>
      </w:r>
      <w:proofErr w:type="spellStart"/>
      <w:r w:rsidRPr="00377FEF">
        <w:rPr>
          <w:rFonts w:eastAsia="Cambria" w:cs="Arial"/>
          <w:color w:val="000000"/>
          <w:sz w:val="22"/>
          <w:szCs w:val="22"/>
        </w:rPr>
        <w:t>PedNSS</w:t>
      </w:r>
      <w:proofErr w:type="spellEnd"/>
      <w:r w:rsidRPr="00377FEF">
        <w:rPr>
          <w:rFonts w:eastAsia="Cambria" w:cs="Arial"/>
          <w:color w:val="000000"/>
          <w:sz w:val="22"/>
          <w:szCs w:val="22"/>
        </w:rPr>
        <w:t>) 2007 Data Tables.</w:t>
      </w:r>
      <w:proofErr w:type="gramEnd"/>
      <w:r w:rsidRPr="00377FEF">
        <w:rPr>
          <w:rFonts w:eastAsia="Cambria" w:cs="Arial"/>
          <w:color w:val="000000"/>
          <w:sz w:val="22"/>
          <w:szCs w:val="22"/>
        </w:rPr>
        <w:t xml:space="preserve"> Retrieved 11/06/08from </w:t>
      </w:r>
      <w:r w:rsidRPr="00377FEF">
        <w:rPr>
          <w:rFonts w:eastAsia="Cambria" w:cs="Arial"/>
          <w:sz w:val="22"/>
          <w:szCs w:val="22"/>
        </w:rPr>
        <w:t>http://www.dhcs.ca.gov/services/chdp/Pages/PedNSS2007.aspx</w:t>
      </w:r>
    </w:p>
    <w:p w:rsidR="0076014E" w:rsidRPr="00377FEF" w:rsidRDefault="0076014E" w:rsidP="007F1C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contextualSpacing/>
        <w:rPr>
          <w:rFonts w:eastAsia="Cambria"/>
          <w:color w:val="1A1718"/>
          <w:sz w:val="22"/>
          <w:szCs w:val="22"/>
        </w:rPr>
      </w:pPr>
      <w:proofErr w:type="spellStart"/>
      <w:r w:rsidRPr="00377FEF">
        <w:rPr>
          <w:rFonts w:eastAsia="Cambria"/>
          <w:color w:val="1A1718"/>
          <w:sz w:val="22"/>
          <w:szCs w:val="22"/>
        </w:rPr>
        <w:t>Diamant</w:t>
      </w:r>
      <w:proofErr w:type="spellEnd"/>
      <w:r w:rsidRPr="00377FEF">
        <w:rPr>
          <w:rFonts w:eastAsia="Cambria"/>
          <w:color w:val="1A1718"/>
          <w:sz w:val="22"/>
          <w:szCs w:val="22"/>
        </w:rPr>
        <w:t xml:space="preserve">, A.L., </w:t>
      </w:r>
      <w:proofErr w:type="spellStart"/>
      <w:r w:rsidRPr="00377FEF">
        <w:rPr>
          <w:rFonts w:eastAsia="Cambria"/>
          <w:color w:val="1A1718"/>
          <w:sz w:val="22"/>
          <w:szCs w:val="22"/>
        </w:rPr>
        <w:t>Babey</w:t>
      </w:r>
      <w:proofErr w:type="spellEnd"/>
      <w:r w:rsidRPr="00377FEF">
        <w:rPr>
          <w:rFonts w:eastAsia="Cambria"/>
          <w:color w:val="1A1718"/>
          <w:sz w:val="22"/>
          <w:szCs w:val="22"/>
        </w:rPr>
        <w:t xml:space="preserve">, S.H., </w:t>
      </w:r>
      <w:proofErr w:type="spellStart"/>
      <w:r w:rsidRPr="00377FEF">
        <w:rPr>
          <w:rFonts w:eastAsia="Cambria"/>
          <w:color w:val="1A1718"/>
          <w:sz w:val="22"/>
          <w:szCs w:val="22"/>
        </w:rPr>
        <w:t>Wolstein</w:t>
      </w:r>
      <w:proofErr w:type="spellEnd"/>
      <w:r w:rsidRPr="00377FEF">
        <w:rPr>
          <w:rFonts w:eastAsia="Cambria"/>
          <w:color w:val="1A1718"/>
          <w:sz w:val="22"/>
          <w:szCs w:val="22"/>
        </w:rPr>
        <w:t xml:space="preserve"> J. </w:t>
      </w:r>
      <w:r w:rsidRPr="00377FEF">
        <w:rPr>
          <w:sz w:val="22"/>
          <w:szCs w:val="22"/>
        </w:rPr>
        <w:t>&amp;</w:t>
      </w:r>
      <w:r w:rsidRPr="00377FEF">
        <w:rPr>
          <w:rFonts w:eastAsia="Cambria"/>
          <w:color w:val="1A1718"/>
          <w:sz w:val="22"/>
          <w:szCs w:val="22"/>
        </w:rPr>
        <w:t xml:space="preserve"> Jones M.  Obesity and Diabetes: Two Growing Epidemics in California.  Los Angeles, CA: UCLA Center for Health Policy Research, 2010.</w:t>
      </w:r>
    </w:p>
    <w:p w:rsidR="007F1C4E" w:rsidRDefault="0076014E" w:rsidP="007F1C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contextualSpacing/>
        <w:rPr>
          <w:sz w:val="22"/>
          <w:szCs w:val="22"/>
        </w:rPr>
      </w:pPr>
      <w:proofErr w:type="gramStart"/>
      <w:r w:rsidRPr="00377FEF">
        <w:rPr>
          <w:sz w:val="22"/>
          <w:szCs w:val="22"/>
        </w:rPr>
        <w:t>First 5 Preschool.</w:t>
      </w:r>
      <w:proofErr w:type="gramEnd"/>
      <w:r w:rsidRPr="00377FEF">
        <w:rPr>
          <w:sz w:val="22"/>
          <w:szCs w:val="22"/>
        </w:rPr>
        <w:t xml:space="preserve">  Retrieved from:</w:t>
      </w:r>
      <w:r w:rsidR="007F1C4E">
        <w:rPr>
          <w:sz w:val="22"/>
          <w:szCs w:val="22"/>
        </w:rPr>
        <w:t xml:space="preserve"> </w:t>
      </w:r>
      <w:r w:rsidR="007F1C4E" w:rsidRPr="007F1C4E">
        <w:rPr>
          <w:sz w:val="22"/>
          <w:szCs w:val="22"/>
        </w:rPr>
        <w:t>http://www.slocoe.org/education/preschool/home/preschoolsites.html</w:t>
      </w:r>
    </w:p>
    <w:p w:rsidR="0076014E" w:rsidRPr="00377FEF" w:rsidRDefault="0076014E" w:rsidP="007F1C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contextualSpacing/>
        <w:rPr>
          <w:sz w:val="22"/>
          <w:szCs w:val="22"/>
        </w:rPr>
      </w:pPr>
      <w:r w:rsidRPr="00377FEF">
        <w:rPr>
          <w:sz w:val="22"/>
          <w:szCs w:val="22"/>
        </w:rPr>
        <w:t>Let’s Move. Retrieved from: http://www.letsmove.gov</w:t>
      </w:r>
    </w:p>
    <w:p w:rsidR="0076014E" w:rsidRPr="00377FEF" w:rsidRDefault="0076014E" w:rsidP="00377FEF">
      <w:pPr>
        <w:ind w:left="720" w:hanging="720"/>
        <w:rPr>
          <w:sz w:val="22"/>
          <w:szCs w:val="22"/>
        </w:rPr>
      </w:pPr>
      <w:r w:rsidRPr="00377FEF">
        <w:rPr>
          <w:sz w:val="22"/>
          <w:szCs w:val="22"/>
        </w:rPr>
        <w:t xml:space="preserve">Must, A., </w:t>
      </w:r>
      <w:proofErr w:type="spellStart"/>
      <w:r w:rsidRPr="00377FEF">
        <w:rPr>
          <w:sz w:val="22"/>
          <w:szCs w:val="22"/>
        </w:rPr>
        <w:t>Spadano</w:t>
      </w:r>
      <w:proofErr w:type="spellEnd"/>
      <w:r w:rsidRPr="00377FEF">
        <w:rPr>
          <w:sz w:val="22"/>
          <w:szCs w:val="22"/>
        </w:rPr>
        <w:t xml:space="preserve">, J., </w:t>
      </w:r>
      <w:proofErr w:type="spellStart"/>
      <w:r w:rsidRPr="00377FEF">
        <w:rPr>
          <w:sz w:val="22"/>
          <w:szCs w:val="22"/>
        </w:rPr>
        <w:t>Coakley</w:t>
      </w:r>
      <w:proofErr w:type="spellEnd"/>
      <w:r w:rsidRPr="00377FEF">
        <w:rPr>
          <w:sz w:val="22"/>
          <w:szCs w:val="22"/>
        </w:rPr>
        <w:t xml:space="preserve">, E.H., Field, A.E., </w:t>
      </w:r>
      <w:proofErr w:type="spellStart"/>
      <w:r w:rsidRPr="00377FEF">
        <w:rPr>
          <w:sz w:val="22"/>
          <w:szCs w:val="22"/>
        </w:rPr>
        <w:t>Colditz</w:t>
      </w:r>
      <w:proofErr w:type="spellEnd"/>
      <w:r w:rsidRPr="00377FEF">
        <w:rPr>
          <w:sz w:val="22"/>
          <w:szCs w:val="22"/>
        </w:rPr>
        <w:t>,</w:t>
      </w:r>
      <w:r w:rsidR="009A3970">
        <w:rPr>
          <w:sz w:val="22"/>
          <w:szCs w:val="22"/>
        </w:rPr>
        <w:t xml:space="preserve"> G. &amp; Dietz, </w:t>
      </w:r>
      <w:proofErr w:type="gramStart"/>
      <w:r w:rsidR="009A3970">
        <w:rPr>
          <w:sz w:val="22"/>
          <w:szCs w:val="22"/>
        </w:rPr>
        <w:t>W.H.</w:t>
      </w:r>
      <w:proofErr w:type="gramEnd"/>
      <w:r w:rsidR="009A3970">
        <w:rPr>
          <w:sz w:val="22"/>
          <w:szCs w:val="22"/>
        </w:rPr>
        <w:t xml:space="preserve"> (1999).  The </w:t>
      </w:r>
      <w:r w:rsidRPr="00377FEF">
        <w:rPr>
          <w:sz w:val="22"/>
          <w:szCs w:val="22"/>
        </w:rPr>
        <w:t xml:space="preserve">disease burden associated with overweight and obesity.  </w:t>
      </w:r>
      <w:r w:rsidRPr="00377FEF">
        <w:rPr>
          <w:i/>
          <w:sz w:val="22"/>
          <w:szCs w:val="22"/>
        </w:rPr>
        <w:t>J</w:t>
      </w:r>
      <w:r w:rsidR="007F1C4E">
        <w:rPr>
          <w:i/>
          <w:sz w:val="22"/>
          <w:szCs w:val="22"/>
        </w:rPr>
        <w:t xml:space="preserve">ournal of the American Medical </w:t>
      </w:r>
      <w:r w:rsidRPr="00377FEF">
        <w:rPr>
          <w:i/>
          <w:sz w:val="22"/>
          <w:szCs w:val="22"/>
        </w:rPr>
        <w:t>Association</w:t>
      </w:r>
      <w:r w:rsidRPr="00377FEF">
        <w:rPr>
          <w:sz w:val="22"/>
          <w:szCs w:val="22"/>
        </w:rPr>
        <w:t>, 282(16), 1523-1529.</w:t>
      </w:r>
    </w:p>
    <w:p w:rsidR="0076014E" w:rsidRPr="00377FEF" w:rsidRDefault="0076014E" w:rsidP="00377FEF">
      <w:pPr>
        <w:ind w:left="720" w:hanging="720"/>
        <w:rPr>
          <w:sz w:val="22"/>
          <w:szCs w:val="22"/>
        </w:rPr>
      </w:pPr>
      <w:r w:rsidRPr="00377FEF">
        <w:rPr>
          <w:sz w:val="22"/>
          <w:szCs w:val="22"/>
        </w:rPr>
        <w:t xml:space="preserve">Ogden, C. L., Carroll, M. D., Curtin, L. R., Lamb, M. M., &amp; </w:t>
      </w:r>
      <w:proofErr w:type="spellStart"/>
      <w:r w:rsidRPr="00377FEF">
        <w:rPr>
          <w:sz w:val="22"/>
          <w:szCs w:val="22"/>
        </w:rPr>
        <w:t>Flegal</w:t>
      </w:r>
      <w:proofErr w:type="spellEnd"/>
      <w:r w:rsidRPr="00377FEF">
        <w:rPr>
          <w:sz w:val="22"/>
          <w:szCs w:val="22"/>
        </w:rPr>
        <w:t xml:space="preserve">, K. M. (2010). </w:t>
      </w:r>
      <w:proofErr w:type="gramStart"/>
      <w:r w:rsidRPr="00377FEF">
        <w:rPr>
          <w:sz w:val="22"/>
          <w:szCs w:val="22"/>
        </w:rPr>
        <w:t xml:space="preserve">Prevalence of </w:t>
      </w:r>
      <w:r w:rsidRPr="00377FEF">
        <w:rPr>
          <w:sz w:val="22"/>
          <w:szCs w:val="22"/>
        </w:rPr>
        <w:tab/>
        <w:t>high body mass index in U.S. children and adolescents, 2007-2008.</w:t>
      </w:r>
      <w:proofErr w:type="gramEnd"/>
      <w:r w:rsidRPr="00377FEF">
        <w:rPr>
          <w:sz w:val="22"/>
          <w:szCs w:val="22"/>
        </w:rPr>
        <w:t xml:space="preserve"> </w:t>
      </w:r>
      <w:r w:rsidRPr="00377FEF">
        <w:rPr>
          <w:rStyle w:val="Emphasis"/>
          <w:sz w:val="22"/>
          <w:szCs w:val="22"/>
        </w:rPr>
        <w:t xml:space="preserve">Journal of the </w:t>
      </w:r>
      <w:r w:rsidRPr="00377FEF">
        <w:rPr>
          <w:rStyle w:val="Emphasis"/>
          <w:sz w:val="22"/>
          <w:szCs w:val="22"/>
        </w:rPr>
        <w:tab/>
        <w:t>American Medical Association</w:t>
      </w:r>
      <w:r w:rsidRPr="00377FEF">
        <w:rPr>
          <w:sz w:val="22"/>
          <w:szCs w:val="22"/>
        </w:rPr>
        <w:t>, 91(3), 519-527.</w:t>
      </w:r>
    </w:p>
    <w:p w:rsidR="0076014E" w:rsidRPr="00377FEF" w:rsidRDefault="0076014E" w:rsidP="007F1C4E">
      <w:pPr>
        <w:ind w:left="720" w:hanging="720"/>
        <w:contextualSpacing/>
        <w:rPr>
          <w:sz w:val="22"/>
          <w:szCs w:val="22"/>
        </w:rPr>
      </w:pPr>
      <w:r w:rsidRPr="00377FEF">
        <w:rPr>
          <w:sz w:val="22"/>
          <w:szCs w:val="22"/>
        </w:rPr>
        <w:lastRenderedPageBreak/>
        <w:t>Ogden, C. &amp; Carroll, M. (2010).  Prevalence of obesity among children and adolescents:  United States, trends 1963-1965 through 2007-2008.  National Center for Health Statistics, Centers for Disease and Prevention, June 2010.  Retrieved from: www.cdc.gov/nchs/data/hestat/obesity_child_07_08/obesity_child_07_08.pdf</w:t>
      </w:r>
    </w:p>
    <w:p w:rsidR="0076014E" w:rsidRPr="00377FEF" w:rsidRDefault="0076014E" w:rsidP="00377FEF">
      <w:pPr>
        <w:ind w:left="720" w:hanging="720"/>
        <w:rPr>
          <w:sz w:val="22"/>
          <w:szCs w:val="22"/>
        </w:rPr>
      </w:pPr>
      <w:proofErr w:type="gramStart"/>
      <w:r w:rsidRPr="00377FEF">
        <w:rPr>
          <w:sz w:val="22"/>
          <w:szCs w:val="22"/>
        </w:rPr>
        <w:t>Poirier, P., Giles, T.D., Bray, G.A., Hong, Y., Stern, J.S., Pi-</w:t>
      </w:r>
      <w:proofErr w:type="spellStart"/>
      <w:r w:rsidRPr="00377FEF">
        <w:rPr>
          <w:sz w:val="22"/>
          <w:szCs w:val="22"/>
        </w:rPr>
        <w:t>Sunyer</w:t>
      </w:r>
      <w:proofErr w:type="spellEnd"/>
      <w:r w:rsidRPr="00377FEF">
        <w:rPr>
          <w:sz w:val="22"/>
          <w:szCs w:val="22"/>
        </w:rPr>
        <w:t xml:space="preserve">, F.X. &amp; </w:t>
      </w:r>
      <w:proofErr w:type="spellStart"/>
      <w:r w:rsidRPr="00377FEF">
        <w:rPr>
          <w:sz w:val="22"/>
          <w:szCs w:val="22"/>
        </w:rPr>
        <w:t>Eckel</w:t>
      </w:r>
      <w:proofErr w:type="spellEnd"/>
      <w:r w:rsidRPr="00377FEF">
        <w:rPr>
          <w:sz w:val="22"/>
          <w:szCs w:val="22"/>
        </w:rPr>
        <w:t>, R.H. (2006).</w:t>
      </w:r>
      <w:proofErr w:type="gramEnd"/>
      <w:r w:rsidRPr="00377FEF">
        <w:rPr>
          <w:sz w:val="22"/>
          <w:szCs w:val="22"/>
        </w:rPr>
        <w:t xml:space="preserve">  </w:t>
      </w:r>
      <w:r w:rsidRPr="00377FEF">
        <w:rPr>
          <w:sz w:val="22"/>
          <w:szCs w:val="22"/>
        </w:rPr>
        <w:tab/>
        <w:t>Obesity and cardiovascular disease: Pathophysiology, ev</w:t>
      </w:r>
      <w:r w:rsidR="009A3970">
        <w:rPr>
          <w:sz w:val="22"/>
          <w:szCs w:val="22"/>
        </w:rPr>
        <w:t xml:space="preserve">aluation, and effect of weight </w:t>
      </w:r>
      <w:r w:rsidRPr="00377FEF">
        <w:rPr>
          <w:sz w:val="22"/>
          <w:szCs w:val="22"/>
        </w:rPr>
        <w:t xml:space="preserve">loss: An update of the 1997 American Heart Association Scientific statement on obesity </w:t>
      </w:r>
      <w:r w:rsidRPr="00377FEF">
        <w:rPr>
          <w:sz w:val="22"/>
          <w:szCs w:val="22"/>
        </w:rPr>
        <w:tab/>
        <w:t>and heart disease from the Obesity Committee on the Council on Nutrition,</w:t>
      </w:r>
      <w:r w:rsidR="009A3970">
        <w:rPr>
          <w:sz w:val="22"/>
          <w:szCs w:val="22"/>
        </w:rPr>
        <w:t xml:space="preserve"> </w:t>
      </w:r>
      <w:r w:rsidRPr="00377FEF">
        <w:rPr>
          <w:sz w:val="22"/>
          <w:szCs w:val="22"/>
        </w:rPr>
        <w:t xml:space="preserve">Physical Activity, and Metabolism.  </w:t>
      </w:r>
      <w:r w:rsidRPr="00377FEF">
        <w:rPr>
          <w:i/>
          <w:sz w:val="22"/>
          <w:szCs w:val="22"/>
        </w:rPr>
        <w:t>Circulation</w:t>
      </w:r>
      <w:r w:rsidRPr="00377FEF">
        <w:rPr>
          <w:sz w:val="22"/>
          <w:szCs w:val="22"/>
        </w:rPr>
        <w:t>, 113, 898-918.</w:t>
      </w:r>
    </w:p>
    <w:p w:rsidR="0076014E" w:rsidRPr="00377FEF" w:rsidRDefault="0076014E" w:rsidP="00377FEF">
      <w:pPr>
        <w:ind w:left="720" w:hanging="720"/>
        <w:rPr>
          <w:sz w:val="22"/>
          <w:szCs w:val="22"/>
        </w:rPr>
      </w:pPr>
      <w:r w:rsidRPr="00377FEF">
        <w:rPr>
          <w:sz w:val="22"/>
          <w:szCs w:val="22"/>
        </w:rPr>
        <w:t xml:space="preserve">Singh, G.K., </w:t>
      </w:r>
      <w:proofErr w:type="spellStart"/>
      <w:r w:rsidRPr="00377FEF">
        <w:rPr>
          <w:sz w:val="22"/>
          <w:szCs w:val="22"/>
        </w:rPr>
        <w:t>Kogan</w:t>
      </w:r>
      <w:proofErr w:type="spellEnd"/>
      <w:r w:rsidRPr="00377FEF">
        <w:rPr>
          <w:sz w:val="22"/>
          <w:szCs w:val="22"/>
        </w:rPr>
        <w:t xml:space="preserve">, M.D. &amp; van </w:t>
      </w:r>
      <w:proofErr w:type="spellStart"/>
      <w:r w:rsidRPr="00377FEF">
        <w:rPr>
          <w:sz w:val="22"/>
          <w:szCs w:val="22"/>
        </w:rPr>
        <w:t>Dyck</w:t>
      </w:r>
      <w:proofErr w:type="spellEnd"/>
      <w:r w:rsidRPr="00377FEF">
        <w:rPr>
          <w:sz w:val="22"/>
          <w:szCs w:val="22"/>
        </w:rPr>
        <w:t xml:space="preserve">, P.C. (2010).  </w:t>
      </w:r>
      <w:proofErr w:type="gramStart"/>
      <w:r w:rsidRPr="00377FEF">
        <w:rPr>
          <w:sz w:val="22"/>
          <w:szCs w:val="22"/>
        </w:rPr>
        <w:t>Chang</w:t>
      </w:r>
      <w:r w:rsidR="009A3970">
        <w:rPr>
          <w:sz w:val="22"/>
          <w:szCs w:val="22"/>
        </w:rPr>
        <w:t xml:space="preserve">es in state-specific childhood </w:t>
      </w:r>
      <w:r w:rsidRPr="00377FEF">
        <w:rPr>
          <w:sz w:val="22"/>
          <w:szCs w:val="22"/>
        </w:rPr>
        <w:t>obesity and overweight prevalence in the United States from 2003-2007.</w:t>
      </w:r>
      <w:proofErr w:type="gramEnd"/>
      <w:r w:rsidRPr="00377FEF">
        <w:rPr>
          <w:sz w:val="22"/>
          <w:szCs w:val="22"/>
        </w:rPr>
        <w:t xml:space="preserve">  </w:t>
      </w:r>
      <w:r w:rsidRPr="00377FEF">
        <w:rPr>
          <w:i/>
          <w:sz w:val="22"/>
          <w:szCs w:val="22"/>
        </w:rPr>
        <w:t xml:space="preserve">Archives of </w:t>
      </w:r>
      <w:r w:rsidRPr="00377FEF">
        <w:rPr>
          <w:i/>
          <w:sz w:val="22"/>
          <w:szCs w:val="22"/>
        </w:rPr>
        <w:tab/>
        <w:t xml:space="preserve">Pediatrics and Adolescent Medicine, </w:t>
      </w:r>
      <w:r w:rsidRPr="00377FEF">
        <w:rPr>
          <w:sz w:val="22"/>
          <w:szCs w:val="22"/>
        </w:rPr>
        <w:t>164(7): 598-607.</w:t>
      </w:r>
    </w:p>
    <w:p w:rsidR="0076014E" w:rsidRPr="00377FEF" w:rsidRDefault="0076014E" w:rsidP="00377FEF">
      <w:pPr>
        <w:ind w:left="720" w:hanging="720"/>
        <w:rPr>
          <w:sz w:val="22"/>
          <w:szCs w:val="22"/>
        </w:rPr>
      </w:pPr>
      <w:proofErr w:type="gramStart"/>
      <w:r w:rsidRPr="00377FEF">
        <w:rPr>
          <w:sz w:val="22"/>
          <w:szCs w:val="22"/>
        </w:rPr>
        <w:t xml:space="preserve">Tom, K., Rivera, M., </w:t>
      </w:r>
      <w:proofErr w:type="spellStart"/>
      <w:r w:rsidRPr="00377FEF">
        <w:rPr>
          <w:sz w:val="22"/>
          <w:szCs w:val="22"/>
        </w:rPr>
        <w:t>Ravalin</w:t>
      </w:r>
      <w:proofErr w:type="spellEnd"/>
      <w:r w:rsidRPr="00377FEF">
        <w:rPr>
          <w:sz w:val="22"/>
          <w:szCs w:val="22"/>
        </w:rPr>
        <w:t xml:space="preserve">, D., &amp; </w:t>
      </w:r>
      <w:proofErr w:type="spellStart"/>
      <w:r w:rsidRPr="00377FEF">
        <w:rPr>
          <w:sz w:val="22"/>
          <w:szCs w:val="22"/>
        </w:rPr>
        <w:t>Jankovitz</w:t>
      </w:r>
      <w:proofErr w:type="spellEnd"/>
      <w:r w:rsidRPr="00377FEF">
        <w:rPr>
          <w:sz w:val="22"/>
          <w:szCs w:val="22"/>
        </w:rPr>
        <w:t>, K. (2009).</w:t>
      </w:r>
      <w:proofErr w:type="gramEnd"/>
      <w:r w:rsidRPr="00377FEF">
        <w:rPr>
          <w:sz w:val="22"/>
          <w:szCs w:val="22"/>
        </w:rPr>
        <w:t xml:space="preserve">  </w:t>
      </w:r>
      <w:proofErr w:type="gramStart"/>
      <w:r w:rsidRPr="00377FEF">
        <w:rPr>
          <w:sz w:val="22"/>
          <w:szCs w:val="22"/>
        </w:rPr>
        <w:t>P</w:t>
      </w:r>
      <w:r w:rsidR="009A3970">
        <w:rPr>
          <w:sz w:val="22"/>
          <w:szCs w:val="22"/>
        </w:rPr>
        <w:t xml:space="preserve">revalence of obesity among San </w:t>
      </w:r>
      <w:r w:rsidRPr="00377FEF">
        <w:rPr>
          <w:sz w:val="22"/>
          <w:szCs w:val="22"/>
        </w:rPr>
        <w:t>Luis Obispo County preschool children [Abstract].</w:t>
      </w:r>
      <w:proofErr w:type="gramEnd"/>
      <w:r w:rsidRPr="00377FEF">
        <w:rPr>
          <w:sz w:val="22"/>
          <w:szCs w:val="22"/>
        </w:rPr>
        <w:t xml:space="preserve">  2009 abstract submissio</w:t>
      </w:r>
      <w:r w:rsidR="009A3970">
        <w:rPr>
          <w:sz w:val="22"/>
          <w:szCs w:val="22"/>
        </w:rPr>
        <w:t xml:space="preserve">ns.  Retrieved </w:t>
      </w:r>
      <w:r w:rsidRPr="00377FEF">
        <w:rPr>
          <w:sz w:val="22"/>
          <w:szCs w:val="22"/>
        </w:rPr>
        <w:t>from http://www.swacsm.org/annual-meeting.htm</w:t>
      </w:r>
    </w:p>
    <w:p w:rsidR="0076014E" w:rsidRPr="00377FEF" w:rsidRDefault="0076014E" w:rsidP="00377FEF">
      <w:pPr>
        <w:ind w:left="720" w:hanging="720"/>
        <w:rPr>
          <w:sz w:val="22"/>
          <w:szCs w:val="22"/>
        </w:rPr>
      </w:pPr>
      <w:r w:rsidRPr="00377FEF">
        <w:rPr>
          <w:sz w:val="22"/>
          <w:szCs w:val="22"/>
        </w:rPr>
        <w:t>U.S.  Census Bureau, 2005-2009 American Community Survey.  Available at:</w:t>
      </w:r>
      <w:r w:rsidRPr="00377FEF">
        <w:rPr>
          <w:sz w:val="22"/>
          <w:szCs w:val="22"/>
          <w:u w:val="single"/>
        </w:rPr>
        <w:t xml:space="preserve"> </w:t>
      </w:r>
      <w:r w:rsidRPr="00377FEF">
        <w:rPr>
          <w:sz w:val="22"/>
          <w:szCs w:val="22"/>
        </w:rPr>
        <w:t>http://factfinder.census.gov/servlet/ADPTable?_bm=y&amp;geo_id=05000US06079&amp;qr_name=ACS_2009_5YR_G00_DP5YR2&amp;-gc_url=&amp;-ds_name=&amp;-_lang=en&amp;-redoLog=false</w:t>
      </w:r>
    </w:p>
    <w:p w:rsidR="0076014E" w:rsidRPr="00377FEF" w:rsidRDefault="0076014E" w:rsidP="00377FEF">
      <w:pPr>
        <w:numPr>
          <w:ins w:id="1" w:author="Kris Jankovitz LAN" w:date="2012-02-07T16:35:00Z"/>
        </w:numPr>
        <w:ind w:left="720" w:hanging="720"/>
        <w:rPr>
          <w:sz w:val="22"/>
          <w:szCs w:val="22"/>
        </w:rPr>
      </w:pPr>
      <w:r w:rsidRPr="00377FEF">
        <w:rPr>
          <w:sz w:val="22"/>
          <w:szCs w:val="22"/>
        </w:rPr>
        <w:t xml:space="preserve"> U.S. Department of Health &amp; Human Services Healthy People 2020 (October 30, 2009).  NWS </w:t>
      </w:r>
    </w:p>
    <w:p w:rsidR="0076014E" w:rsidRPr="00377FEF" w:rsidRDefault="0076014E" w:rsidP="007F1C4E">
      <w:pPr>
        <w:ind w:left="720"/>
        <w:rPr>
          <w:sz w:val="22"/>
          <w:szCs w:val="22"/>
        </w:rPr>
      </w:pPr>
      <w:proofErr w:type="gramStart"/>
      <w:r w:rsidRPr="00377FEF">
        <w:rPr>
          <w:sz w:val="22"/>
          <w:szCs w:val="22"/>
        </w:rPr>
        <w:t>HP2020-5, HP2020-15.</w:t>
      </w:r>
      <w:proofErr w:type="gramEnd"/>
      <w:r w:rsidRPr="00377FEF">
        <w:rPr>
          <w:sz w:val="22"/>
          <w:szCs w:val="22"/>
        </w:rPr>
        <w:t xml:space="preserve">  Retrieved from: http://www.healthypeople.gov/hp2020/objectives/ViewObjective.aspx?Id=277&amp;TopicArea=Nutrition+and+Weight+Status&amp;Objective=NWS+HP2020%E2%80%935&amp;TopicAreaId=35</w:t>
      </w:r>
    </w:p>
    <w:p w:rsidR="007F1C4E" w:rsidRDefault="0076014E" w:rsidP="007F1C4E">
      <w:pPr>
        <w:ind w:left="720" w:hanging="720"/>
        <w:rPr>
          <w:sz w:val="22"/>
          <w:szCs w:val="22"/>
        </w:rPr>
      </w:pPr>
      <w:r w:rsidRPr="00377FEF">
        <w:rPr>
          <w:sz w:val="22"/>
          <w:szCs w:val="22"/>
        </w:rPr>
        <w:t>U.S.  Department of Health &amp; Human Services, National Center for Chronic Disease Prevention</w:t>
      </w:r>
      <w:r w:rsidRPr="00377FEF">
        <w:rPr>
          <w:sz w:val="22"/>
          <w:szCs w:val="22"/>
        </w:rPr>
        <w:tab/>
        <w:t>and Health Promotion, Division of Adolescent and School Health (September 15, 20</w:t>
      </w:r>
      <w:r w:rsidR="007F1C4E">
        <w:rPr>
          <w:sz w:val="22"/>
          <w:szCs w:val="22"/>
        </w:rPr>
        <w:t xml:space="preserve">11). </w:t>
      </w:r>
    </w:p>
    <w:p w:rsidR="0076014E" w:rsidRPr="00377FEF" w:rsidRDefault="0076014E" w:rsidP="007F1C4E">
      <w:pPr>
        <w:ind w:left="720"/>
        <w:rPr>
          <w:sz w:val="22"/>
          <w:szCs w:val="22"/>
        </w:rPr>
      </w:pPr>
      <w:r w:rsidRPr="00377FEF">
        <w:rPr>
          <w:sz w:val="22"/>
          <w:szCs w:val="22"/>
        </w:rPr>
        <w:t>Retrieved from: www.cdc.gov/healthyyouth/obesity/facts.htm</w:t>
      </w:r>
    </w:p>
    <w:p w:rsidR="00FB54C4" w:rsidRDefault="00FB54C4">
      <w:pPr>
        <w:rPr>
          <w:sz w:val="22"/>
          <w:szCs w:val="22"/>
        </w:rPr>
      </w:pPr>
    </w:p>
    <w:p w:rsidR="007F1C4E" w:rsidRPr="00655224" w:rsidRDefault="007F1C4E">
      <w:pPr>
        <w:rPr>
          <w:sz w:val="22"/>
          <w:szCs w:val="22"/>
        </w:rPr>
      </w:pPr>
    </w:p>
    <w:p w:rsidR="007E3233" w:rsidRDefault="007E3233">
      <w:pPr>
        <w:rPr>
          <w:sz w:val="22"/>
          <w:szCs w:val="22"/>
        </w:rPr>
      </w:pPr>
    </w:p>
    <w:p w:rsidR="002D2138" w:rsidRDefault="002D2138">
      <w:pPr>
        <w:rPr>
          <w:sz w:val="22"/>
          <w:szCs w:val="22"/>
        </w:rPr>
      </w:pPr>
    </w:p>
    <w:p w:rsidR="002D2138" w:rsidRDefault="002D2138">
      <w:pPr>
        <w:rPr>
          <w:sz w:val="22"/>
          <w:szCs w:val="22"/>
        </w:rPr>
      </w:pPr>
    </w:p>
    <w:tbl>
      <w:tblPr>
        <w:tblW w:w="0" w:type="auto"/>
        <w:tblInd w:w="288" w:type="dxa"/>
        <w:tblLook w:val="0000" w:firstRow="0" w:lastRow="0" w:firstColumn="0" w:lastColumn="0" w:noHBand="0" w:noVBand="0"/>
      </w:tblPr>
      <w:tblGrid>
        <w:gridCol w:w="3420"/>
        <w:gridCol w:w="5580"/>
      </w:tblGrid>
      <w:tr w:rsidR="00854FD0" w:rsidRPr="00655224">
        <w:tc>
          <w:tcPr>
            <w:tcW w:w="3420" w:type="dxa"/>
          </w:tcPr>
          <w:p w:rsidR="00854FD0" w:rsidRPr="00655224" w:rsidRDefault="00854FD0">
            <w:pPr>
              <w:rPr>
                <w:sz w:val="22"/>
                <w:szCs w:val="22"/>
              </w:rPr>
            </w:pPr>
          </w:p>
        </w:tc>
        <w:tc>
          <w:tcPr>
            <w:tcW w:w="5580" w:type="dxa"/>
          </w:tcPr>
          <w:p w:rsidR="00854FD0" w:rsidRPr="005554D2" w:rsidRDefault="00854FD0" w:rsidP="002D2138">
            <w:pPr>
              <w:pStyle w:val="Heading1"/>
              <w:keepLines/>
              <w:rPr>
                <w:sz w:val="22"/>
                <w:szCs w:val="22"/>
              </w:rPr>
            </w:pPr>
            <w:r w:rsidRPr="005554D2">
              <w:rPr>
                <w:sz w:val="22"/>
                <w:szCs w:val="22"/>
              </w:rPr>
              <w:t>Author Information</w:t>
            </w:r>
          </w:p>
          <w:p w:rsidR="0089340C" w:rsidRPr="00377FEF" w:rsidRDefault="00377FEF" w:rsidP="002D2138">
            <w:pPr>
              <w:keepLines/>
              <w:rPr>
                <w:sz w:val="22"/>
                <w:szCs w:val="22"/>
              </w:rPr>
            </w:pPr>
            <w:r>
              <w:rPr>
                <w:sz w:val="22"/>
                <w:szCs w:val="22"/>
              </w:rPr>
              <w:t>*</w:t>
            </w:r>
            <w:r w:rsidRPr="00377FEF">
              <w:rPr>
                <w:sz w:val="22"/>
                <w:szCs w:val="22"/>
              </w:rPr>
              <w:t xml:space="preserve">Kristine Z. </w:t>
            </w:r>
            <w:proofErr w:type="spellStart"/>
            <w:r>
              <w:rPr>
                <w:sz w:val="22"/>
                <w:szCs w:val="22"/>
              </w:rPr>
              <w:t>Jankovitz</w:t>
            </w:r>
            <w:proofErr w:type="spellEnd"/>
            <w:r>
              <w:rPr>
                <w:sz w:val="22"/>
                <w:szCs w:val="22"/>
              </w:rPr>
              <w:t>, Ph</w:t>
            </w:r>
            <w:r w:rsidRPr="00377FEF">
              <w:rPr>
                <w:sz w:val="22"/>
                <w:szCs w:val="22"/>
              </w:rPr>
              <w:t>D</w:t>
            </w:r>
          </w:p>
          <w:p w:rsidR="00377FEF" w:rsidRPr="00377FEF" w:rsidRDefault="00377FEF" w:rsidP="002D2138">
            <w:pPr>
              <w:keepLines/>
              <w:rPr>
                <w:sz w:val="22"/>
                <w:szCs w:val="22"/>
              </w:rPr>
            </w:pPr>
            <w:r w:rsidRPr="00377FEF">
              <w:rPr>
                <w:sz w:val="22"/>
                <w:szCs w:val="22"/>
              </w:rPr>
              <w:t>California Polytechnic State University</w:t>
            </w:r>
          </w:p>
          <w:p w:rsidR="00377FEF" w:rsidRPr="00377FEF" w:rsidRDefault="00377FEF" w:rsidP="002D2138">
            <w:pPr>
              <w:keepLines/>
              <w:rPr>
                <w:sz w:val="22"/>
                <w:szCs w:val="22"/>
              </w:rPr>
            </w:pPr>
            <w:r w:rsidRPr="00377FEF">
              <w:rPr>
                <w:sz w:val="22"/>
                <w:szCs w:val="22"/>
              </w:rPr>
              <w:t>Department of Kinesiology</w:t>
            </w:r>
          </w:p>
          <w:p w:rsidR="00377FEF" w:rsidRPr="00377FEF" w:rsidRDefault="00377FEF" w:rsidP="002D2138">
            <w:pPr>
              <w:keepLines/>
              <w:rPr>
                <w:sz w:val="22"/>
                <w:szCs w:val="22"/>
              </w:rPr>
            </w:pPr>
            <w:r w:rsidRPr="00377FEF">
              <w:rPr>
                <w:sz w:val="22"/>
                <w:szCs w:val="22"/>
              </w:rPr>
              <w:t>San Luis Obispo, CA 93407-0386</w:t>
            </w:r>
          </w:p>
          <w:p w:rsidR="00377FEF" w:rsidRPr="00377FEF" w:rsidRDefault="00377FEF" w:rsidP="002D2138">
            <w:pPr>
              <w:keepLines/>
              <w:rPr>
                <w:sz w:val="22"/>
                <w:szCs w:val="22"/>
              </w:rPr>
            </w:pPr>
            <w:r w:rsidRPr="00377FEF">
              <w:rPr>
                <w:sz w:val="22"/>
                <w:szCs w:val="22"/>
              </w:rPr>
              <w:t>TEL: 805 756-2534</w:t>
            </w:r>
          </w:p>
          <w:p w:rsidR="00377FEF" w:rsidRPr="00377FEF" w:rsidRDefault="00377FEF" w:rsidP="002D2138">
            <w:pPr>
              <w:keepLines/>
              <w:rPr>
                <w:sz w:val="22"/>
                <w:szCs w:val="22"/>
              </w:rPr>
            </w:pPr>
            <w:r w:rsidRPr="00377FEF">
              <w:rPr>
                <w:sz w:val="22"/>
                <w:szCs w:val="22"/>
              </w:rPr>
              <w:t>FAX: 805 756-7273</w:t>
            </w:r>
          </w:p>
          <w:p w:rsidR="00377FEF" w:rsidRPr="00377FEF" w:rsidRDefault="00377FEF" w:rsidP="002D2138">
            <w:pPr>
              <w:keepLines/>
              <w:rPr>
                <w:rStyle w:val="Hyperlink"/>
                <w:sz w:val="22"/>
                <w:szCs w:val="22"/>
              </w:rPr>
            </w:pPr>
            <w:r w:rsidRPr="00377FEF">
              <w:rPr>
                <w:sz w:val="22"/>
                <w:szCs w:val="22"/>
              </w:rPr>
              <w:t>email: kjankovi@calpoly.edu</w:t>
            </w:r>
          </w:p>
          <w:p w:rsidR="00377FEF" w:rsidRPr="00377FEF" w:rsidRDefault="00377FEF" w:rsidP="002D2138">
            <w:pPr>
              <w:keepLines/>
              <w:rPr>
                <w:rStyle w:val="Hyperlink"/>
                <w:sz w:val="22"/>
                <w:szCs w:val="22"/>
              </w:rPr>
            </w:pPr>
          </w:p>
          <w:p w:rsidR="00377FEF" w:rsidRPr="00377FEF" w:rsidRDefault="00377FEF" w:rsidP="002D2138">
            <w:pPr>
              <w:keepLines/>
              <w:rPr>
                <w:sz w:val="22"/>
                <w:szCs w:val="22"/>
              </w:rPr>
            </w:pPr>
            <w:r w:rsidRPr="00377FEF">
              <w:rPr>
                <w:sz w:val="22"/>
                <w:szCs w:val="22"/>
              </w:rPr>
              <w:t xml:space="preserve">Karen J. </w:t>
            </w:r>
            <w:proofErr w:type="spellStart"/>
            <w:r w:rsidRPr="00377FEF">
              <w:rPr>
                <w:sz w:val="22"/>
                <w:szCs w:val="22"/>
              </w:rPr>
              <w:t>McGaughey</w:t>
            </w:r>
            <w:proofErr w:type="spellEnd"/>
            <w:r w:rsidRPr="00377FEF">
              <w:rPr>
                <w:sz w:val="22"/>
                <w:szCs w:val="22"/>
              </w:rPr>
              <w:t>, PhD</w:t>
            </w:r>
          </w:p>
          <w:p w:rsidR="00377FEF" w:rsidRPr="00377FEF" w:rsidRDefault="00377FEF" w:rsidP="002D2138">
            <w:pPr>
              <w:keepLines/>
              <w:rPr>
                <w:sz w:val="22"/>
                <w:szCs w:val="22"/>
              </w:rPr>
            </w:pPr>
            <w:r w:rsidRPr="00377FEF">
              <w:rPr>
                <w:sz w:val="22"/>
                <w:szCs w:val="22"/>
              </w:rPr>
              <w:t>California Polytechnic State University</w:t>
            </w:r>
          </w:p>
          <w:p w:rsidR="00377FEF" w:rsidRPr="00377FEF" w:rsidRDefault="00377FEF" w:rsidP="002D2138">
            <w:pPr>
              <w:keepLines/>
              <w:rPr>
                <w:sz w:val="22"/>
                <w:szCs w:val="22"/>
              </w:rPr>
            </w:pPr>
            <w:r w:rsidRPr="00377FEF">
              <w:rPr>
                <w:sz w:val="22"/>
                <w:szCs w:val="22"/>
              </w:rPr>
              <w:t>San Luis Obispo, CA</w:t>
            </w:r>
          </w:p>
          <w:p w:rsidR="00377FEF" w:rsidRPr="00377FEF" w:rsidRDefault="00377FEF" w:rsidP="002D2138">
            <w:pPr>
              <w:keepLines/>
              <w:rPr>
                <w:sz w:val="22"/>
                <w:szCs w:val="22"/>
              </w:rPr>
            </w:pPr>
          </w:p>
          <w:p w:rsidR="00377FEF" w:rsidRPr="00377FEF" w:rsidRDefault="00377FEF" w:rsidP="002D2138">
            <w:pPr>
              <w:keepLines/>
              <w:rPr>
                <w:sz w:val="22"/>
                <w:szCs w:val="22"/>
              </w:rPr>
            </w:pPr>
            <w:proofErr w:type="spellStart"/>
            <w:r w:rsidRPr="00377FEF">
              <w:rPr>
                <w:sz w:val="22"/>
                <w:szCs w:val="22"/>
              </w:rPr>
              <w:t>Dayna</w:t>
            </w:r>
            <w:proofErr w:type="spellEnd"/>
            <w:r w:rsidRPr="00377FEF">
              <w:rPr>
                <w:sz w:val="22"/>
                <w:szCs w:val="22"/>
              </w:rPr>
              <w:t xml:space="preserve"> </w:t>
            </w:r>
            <w:proofErr w:type="spellStart"/>
            <w:r w:rsidRPr="00377FEF">
              <w:rPr>
                <w:sz w:val="22"/>
                <w:szCs w:val="22"/>
              </w:rPr>
              <w:t>Ravalin</w:t>
            </w:r>
            <w:proofErr w:type="spellEnd"/>
            <w:r w:rsidRPr="00377FEF">
              <w:rPr>
                <w:sz w:val="22"/>
                <w:szCs w:val="22"/>
              </w:rPr>
              <w:t>, RD</w:t>
            </w:r>
            <w:r>
              <w:rPr>
                <w:sz w:val="22"/>
                <w:szCs w:val="22"/>
              </w:rPr>
              <w:t>,</w:t>
            </w:r>
            <w:r w:rsidRPr="00377FEF">
              <w:rPr>
                <w:sz w:val="22"/>
                <w:szCs w:val="22"/>
              </w:rPr>
              <w:t xml:space="preserve"> CDE</w:t>
            </w:r>
          </w:p>
          <w:p w:rsidR="00377FEF" w:rsidRPr="00377FEF" w:rsidRDefault="00377FEF" w:rsidP="002D2138">
            <w:pPr>
              <w:keepLines/>
              <w:rPr>
                <w:sz w:val="22"/>
                <w:szCs w:val="22"/>
              </w:rPr>
            </w:pPr>
            <w:r w:rsidRPr="00377FEF">
              <w:rPr>
                <w:sz w:val="22"/>
                <w:szCs w:val="22"/>
              </w:rPr>
              <w:t>County Public Health Department</w:t>
            </w:r>
          </w:p>
          <w:p w:rsidR="00377FEF" w:rsidRPr="00377FEF" w:rsidRDefault="00377FEF" w:rsidP="002D2138">
            <w:pPr>
              <w:keepLines/>
              <w:rPr>
                <w:sz w:val="22"/>
                <w:szCs w:val="22"/>
              </w:rPr>
            </w:pPr>
            <w:r w:rsidRPr="00377FEF">
              <w:rPr>
                <w:sz w:val="22"/>
                <w:szCs w:val="22"/>
              </w:rPr>
              <w:t>San Luis Obispo, CA</w:t>
            </w:r>
          </w:p>
          <w:p w:rsidR="00377FEF" w:rsidRPr="00377FEF" w:rsidRDefault="00377FEF" w:rsidP="002D2138">
            <w:pPr>
              <w:keepLines/>
              <w:rPr>
                <w:sz w:val="22"/>
                <w:szCs w:val="22"/>
              </w:rPr>
            </w:pPr>
          </w:p>
          <w:p w:rsidR="00377FEF" w:rsidRPr="00377FEF" w:rsidRDefault="00377FEF" w:rsidP="002D2138">
            <w:pPr>
              <w:keepLines/>
              <w:rPr>
                <w:sz w:val="22"/>
                <w:szCs w:val="22"/>
              </w:rPr>
            </w:pPr>
            <w:r w:rsidRPr="00377FEF">
              <w:rPr>
                <w:sz w:val="22"/>
                <w:szCs w:val="22"/>
              </w:rPr>
              <w:t>Kyla Tom, MS</w:t>
            </w:r>
          </w:p>
          <w:p w:rsidR="00377FEF" w:rsidRPr="00377FEF" w:rsidRDefault="00377FEF" w:rsidP="002D2138">
            <w:pPr>
              <w:keepLines/>
              <w:rPr>
                <w:sz w:val="22"/>
                <w:szCs w:val="22"/>
              </w:rPr>
            </w:pPr>
            <w:r w:rsidRPr="00377FEF">
              <w:rPr>
                <w:sz w:val="22"/>
                <w:szCs w:val="22"/>
              </w:rPr>
              <w:t>California Polytechnic State University</w:t>
            </w:r>
          </w:p>
          <w:p w:rsidR="00377FEF" w:rsidRDefault="00377FEF" w:rsidP="002D2138">
            <w:pPr>
              <w:keepLines/>
              <w:rPr>
                <w:sz w:val="22"/>
                <w:szCs w:val="22"/>
              </w:rPr>
            </w:pPr>
            <w:r w:rsidRPr="00377FEF">
              <w:rPr>
                <w:sz w:val="22"/>
                <w:szCs w:val="22"/>
              </w:rPr>
              <w:t>San Luis Obispo, CA</w:t>
            </w:r>
          </w:p>
          <w:p w:rsidR="00377FEF" w:rsidRPr="00377FEF" w:rsidRDefault="00377FEF" w:rsidP="002D2138">
            <w:pPr>
              <w:keepLines/>
              <w:rPr>
                <w:sz w:val="22"/>
                <w:szCs w:val="22"/>
              </w:rPr>
            </w:pPr>
          </w:p>
          <w:p w:rsidR="00377FEF" w:rsidRPr="00377FEF" w:rsidRDefault="00377FEF" w:rsidP="002D2138">
            <w:pPr>
              <w:keepLines/>
              <w:rPr>
                <w:sz w:val="22"/>
                <w:szCs w:val="22"/>
              </w:rPr>
            </w:pPr>
            <w:r w:rsidRPr="00377FEF">
              <w:rPr>
                <w:sz w:val="22"/>
                <w:szCs w:val="22"/>
              </w:rPr>
              <w:lastRenderedPageBreak/>
              <w:t xml:space="preserve">Ann </w:t>
            </w:r>
            <w:proofErr w:type="spellStart"/>
            <w:r w:rsidRPr="00377FEF">
              <w:rPr>
                <w:sz w:val="22"/>
                <w:szCs w:val="22"/>
              </w:rPr>
              <w:t>Yelmokas</w:t>
            </w:r>
            <w:proofErr w:type="spellEnd"/>
            <w:r w:rsidRPr="00377FEF">
              <w:rPr>
                <w:sz w:val="22"/>
                <w:szCs w:val="22"/>
              </w:rPr>
              <w:t xml:space="preserve"> McDermott, PhD, MS, LDN</w:t>
            </w:r>
          </w:p>
          <w:p w:rsidR="00377FEF" w:rsidRPr="00377FEF" w:rsidRDefault="00377FEF" w:rsidP="002D2138">
            <w:pPr>
              <w:keepLines/>
              <w:rPr>
                <w:sz w:val="22"/>
                <w:szCs w:val="22"/>
              </w:rPr>
            </w:pPr>
            <w:r w:rsidRPr="00377FEF">
              <w:rPr>
                <w:sz w:val="22"/>
                <w:szCs w:val="22"/>
              </w:rPr>
              <w:t>California Polytechnic State University</w:t>
            </w:r>
          </w:p>
          <w:p w:rsidR="00C30D54" w:rsidRPr="00377FEF" w:rsidRDefault="00377FEF" w:rsidP="002D2138">
            <w:pPr>
              <w:keepLines/>
            </w:pPr>
            <w:r w:rsidRPr="00377FEF">
              <w:rPr>
                <w:sz w:val="22"/>
                <w:szCs w:val="22"/>
              </w:rPr>
              <w:t>San Luis Obispo, CA</w:t>
            </w:r>
          </w:p>
          <w:p w:rsidR="002331C1" w:rsidRDefault="002331C1" w:rsidP="002D2138">
            <w:pPr>
              <w:keepLines/>
              <w:rPr>
                <w:sz w:val="22"/>
                <w:szCs w:val="22"/>
              </w:rPr>
            </w:pPr>
          </w:p>
          <w:p w:rsidR="005554D2" w:rsidRPr="005554D2" w:rsidRDefault="005554D2" w:rsidP="002D2138">
            <w:pPr>
              <w:keepLines/>
              <w:rPr>
                <w:sz w:val="18"/>
                <w:szCs w:val="18"/>
              </w:rPr>
            </w:pPr>
            <w:r w:rsidRPr="005554D2">
              <w:rPr>
                <w:sz w:val="18"/>
                <w:szCs w:val="18"/>
              </w:rPr>
              <w:t>* corresponding author</w:t>
            </w:r>
          </w:p>
        </w:tc>
      </w:tr>
    </w:tbl>
    <w:p w:rsidR="002209B2" w:rsidRPr="009A3970" w:rsidRDefault="002209B2" w:rsidP="009A3970">
      <w:pPr>
        <w:spacing w:line="360" w:lineRule="auto"/>
        <w:rPr>
          <w:sz w:val="28"/>
          <w:szCs w:val="28"/>
        </w:rPr>
      </w:pPr>
    </w:p>
    <w:sectPr w:rsidR="002209B2" w:rsidRPr="009A3970" w:rsidSect="00155C8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9AB" w:rsidRDefault="002049AB">
      <w:r>
        <w:separator/>
      </w:r>
    </w:p>
  </w:endnote>
  <w:endnote w:type="continuationSeparator" w:id="0">
    <w:p w:rsidR="002049AB" w:rsidRDefault="00204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46B" w:rsidRDefault="006B7573" w:rsidP="00854FD0">
    <w:pPr>
      <w:pStyle w:val="Footer"/>
      <w:framePr w:wrap="around" w:vAnchor="text" w:hAnchor="margin" w:xAlign="center" w:y="1"/>
      <w:rPr>
        <w:rStyle w:val="PageNumber"/>
      </w:rPr>
    </w:pPr>
    <w:r>
      <w:rPr>
        <w:rStyle w:val="PageNumber"/>
      </w:rPr>
      <w:fldChar w:fldCharType="begin"/>
    </w:r>
    <w:r w:rsidR="00ED746B">
      <w:rPr>
        <w:rStyle w:val="PageNumber"/>
      </w:rPr>
      <w:instrText xml:space="preserve">PAGE  </w:instrText>
    </w:r>
    <w:r>
      <w:rPr>
        <w:rStyle w:val="PageNumber"/>
      </w:rPr>
      <w:fldChar w:fldCharType="end"/>
    </w:r>
  </w:p>
  <w:p w:rsidR="00ED746B" w:rsidRDefault="00ED746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46B" w:rsidRPr="00854FD0" w:rsidRDefault="006B7573" w:rsidP="00854FD0">
    <w:pPr>
      <w:pStyle w:val="Footer"/>
      <w:framePr w:wrap="around" w:vAnchor="text" w:hAnchor="margin" w:xAlign="center" w:y="1"/>
      <w:rPr>
        <w:rStyle w:val="PageNumber"/>
        <w:sz w:val="22"/>
        <w:szCs w:val="22"/>
      </w:rPr>
    </w:pPr>
    <w:r w:rsidRPr="00854FD0">
      <w:rPr>
        <w:rStyle w:val="PageNumber"/>
        <w:sz w:val="22"/>
        <w:szCs w:val="22"/>
      </w:rPr>
      <w:fldChar w:fldCharType="begin"/>
    </w:r>
    <w:r w:rsidR="00ED746B" w:rsidRPr="00854FD0">
      <w:rPr>
        <w:rStyle w:val="PageNumber"/>
        <w:sz w:val="22"/>
        <w:szCs w:val="22"/>
      </w:rPr>
      <w:instrText xml:space="preserve">PAGE  </w:instrText>
    </w:r>
    <w:r w:rsidRPr="00854FD0">
      <w:rPr>
        <w:rStyle w:val="PageNumber"/>
        <w:sz w:val="22"/>
        <w:szCs w:val="22"/>
      </w:rPr>
      <w:fldChar w:fldCharType="separate"/>
    </w:r>
    <w:r w:rsidR="003820F8">
      <w:rPr>
        <w:rStyle w:val="PageNumber"/>
        <w:noProof/>
        <w:sz w:val="22"/>
        <w:szCs w:val="22"/>
      </w:rPr>
      <w:t>114</w:t>
    </w:r>
    <w:r w:rsidRPr="00854FD0">
      <w:rPr>
        <w:rStyle w:val="PageNumber"/>
        <w:sz w:val="22"/>
        <w:szCs w:val="22"/>
      </w:rPr>
      <w:fldChar w:fldCharType="end"/>
    </w:r>
  </w:p>
  <w:p w:rsidR="00ED746B" w:rsidRDefault="00ED746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9AB" w:rsidRDefault="002049AB">
      <w:r>
        <w:separator/>
      </w:r>
    </w:p>
  </w:footnote>
  <w:footnote w:type="continuationSeparator" w:id="0">
    <w:p w:rsidR="002049AB" w:rsidRDefault="002049A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46B" w:rsidRDefault="006B7573">
    <w:pPr>
      <w:pStyle w:val="Header"/>
      <w:framePr w:wrap="around" w:vAnchor="text" w:hAnchor="margin" w:xAlign="right" w:y="1"/>
      <w:rPr>
        <w:rStyle w:val="PageNumber"/>
      </w:rPr>
    </w:pPr>
    <w:r>
      <w:rPr>
        <w:rStyle w:val="PageNumber"/>
      </w:rPr>
      <w:fldChar w:fldCharType="begin"/>
    </w:r>
    <w:r w:rsidR="00ED746B">
      <w:rPr>
        <w:rStyle w:val="PageNumber"/>
      </w:rPr>
      <w:instrText xml:space="preserve">PAGE  </w:instrText>
    </w:r>
    <w:r>
      <w:rPr>
        <w:rStyle w:val="PageNumber"/>
      </w:rPr>
      <w:fldChar w:fldCharType="end"/>
    </w:r>
  </w:p>
  <w:p w:rsidR="00ED746B" w:rsidRDefault="00ED746B">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Ind w:w="108" w:type="dxa"/>
      <w:tblLook w:val="0000" w:firstRow="0" w:lastRow="0" w:firstColumn="0" w:lastColumn="0" w:noHBand="0" w:noVBand="0"/>
    </w:tblPr>
    <w:tblGrid>
      <w:gridCol w:w="9180"/>
    </w:tblGrid>
    <w:tr w:rsidR="00ED746B">
      <w:tc>
        <w:tcPr>
          <w:tcW w:w="9180" w:type="dxa"/>
        </w:tcPr>
        <w:p w:rsidR="00ED746B" w:rsidRPr="00D54E85" w:rsidRDefault="00491D0A" w:rsidP="003820F8">
          <w:pPr>
            <w:pStyle w:val="Header"/>
            <w:ind w:right="360"/>
            <w:rPr>
              <w:i/>
              <w:iCs/>
              <w:sz w:val="16"/>
              <w:szCs w:val="16"/>
            </w:rPr>
          </w:pPr>
          <w:r>
            <w:rPr>
              <w:i/>
              <w:iCs/>
              <w:sz w:val="16"/>
              <w:szCs w:val="16"/>
            </w:rPr>
            <w:t>A</w:t>
          </w:r>
          <w:r w:rsidR="00C30D54">
            <w:rPr>
              <w:i/>
              <w:iCs/>
              <w:sz w:val="16"/>
              <w:szCs w:val="16"/>
            </w:rPr>
            <w:t>uthors</w:t>
          </w:r>
          <w:r w:rsidR="00ED746B" w:rsidRPr="00D54E85">
            <w:rPr>
              <w:i/>
              <w:iCs/>
              <w:sz w:val="16"/>
              <w:szCs w:val="16"/>
            </w:rPr>
            <w:t xml:space="preserve"> / Californian</w:t>
          </w:r>
          <w:r w:rsidR="0096650C">
            <w:rPr>
              <w:i/>
              <w:iCs/>
              <w:sz w:val="16"/>
              <w:szCs w:val="16"/>
            </w:rPr>
            <w:t xml:space="preserve"> Journal of Health Promotion 201</w:t>
          </w:r>
          <w:r w:rsidR="005F5778">
            <w:rPr>
              <w:i/>
              <w:iCs/>
              <w:sz w:val="16"/>
              <w:szCs w:val="16"/>
            </w:rPr>
            <w:t>2</w:t>
          </w:r>
          <w:r w:rsidR="00ED746B" w:rsidRPr="00D54E85">
            <w:rPr>
              <w:i/>
              <w:iCs/>
              <w:sz w:val="16"/>
              <w:szCs w:val="16"/>
            </w:rPr>
            <w:t xml:space="preserve">, </w:t>
          </w:r>
          <w:r w:rsidR="003820F8" w:rsidRPr="00D54E85">
            <w:rPr>
              <w:i/>
              <w:iCs/>
              <w:sz w:val="16"/>
              <w:szCs w:val="16"/>
            </w:rPr>
            <w:t xml:space="preserve">Volume </w:t>
          </w:r>
          <w:r w:rsidR="003820F8">
            <w:rPr>
              <w:i/>
              <w:iCs/>
              <w:sz w:val="16"/>
              <w:szCs w:val="16"/>
            </w:rPr>
            <w:t xml:space="preserve">10, Special Issue: </w:t>
          </w:r>
          <w:r w:rsidR="003820F8" w:rsidRPr="002531E2">
            <w:rPr>
              <w:bCs/>
              <w:i/>
              <w:sz w:val="16"/>
              <w:szCs w:val="16"/>
            </w:rPr>
            <w:t>Health Disparities in Latino Communities</w:t>
          </w:r>
          <w:r w:rsidR="00ED746B" w:rsidRPr="00D54E85">
            <w:rPr>
              <w:i/>
              <w:iCs/>
              <w:sz w:val="16"/>
              <w:szCs w:val="16"/>
            </w:rPr>
            <w:t xml:space="preserve">, </w:t>
          </w:r>
          <w:r w:rsidR="003820F8">
            <w:rPr>
              <w:i/>
              <w:iCs/>
              <w:sz w:val="16"/>
              <w:szCs w:val="16"/>
            </w:rPr>
            <w:t>114-122</w:t>
          </w:r>
        </w:p>
      </w:tc>
    </w:tr>
  </w:tbl>
  <w:p w:rsidR="00ED746B" w:rsidRDefault="00ED746B">
    <w:pPr>
      <w:pStyle w:val="Header"/>
      <w:rPr>
        <w:sz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136"/>
    <w:rsid w:val="00012472"/>
    <w:rsid w:val="00021FC0"/>
    <w:rsid w:val="000356D6"/>
    <w:rsid w:val="000546B2"/>
    <w:rsid w:val="000959DC"/>
    <w:rsid w:val="000C00CD"/>
    <w:rsid w:val="0010155B"/>
    <w:rsid w:val="00111C12"/>
    <w:rsid w:val="00155C82"/>
    <w:rsid w:val="0016523D"/>
    <w:rsid w:val="00172F5E"/>
    <w:rsid w:val="00182378"/>
    <w:rsid w:val="001E1F34"/>
    <w:rsid w:val="002049AB"/>
    <w:rsid w:val="002209B2"/>
    <w:rsid w:val="00232719"/>
    <w:rsid w:val="002331C1"/>
    <w:rsid w:val="00237AC0"/>
    <w:rsid w:val="00240F53"/>
    <w:rsid w:val="002469C7"/>
    <w:rsid w:val="002811E8"/>
    <w:rsid w:val="002967F1"/>
    <w:rsid w:val="002A20A2"/>
    <w:rsid w:val="002A2B7B"/>
    <w:rsid w:val="002D2138"/>
    <w:rsid w:val="002D3329"/>
    <w:rsid w:val="002E614D"/>
    <w:rsid w:val="002F77B0"/>
    <w:rsid w:val="003019A3"/>
    <w:rsid w:val="0034301D"/>
    <w:rsid w:val="003535D4"/>
    <w:rsid w:val="003627EC"/>
    <w:rsid w:val="00370F08"/>
    <w:rsid w:val="00377FEF"/>
    <w:rsid w:val="003820F8"/>
    <w:rsid w:val="00391A8D"/>
    <w:rsid w:val="00394B21"/>
    <w:rsid w:val="00394F34"/>
    <w:rsid w:val="00396848"/>
    <w:rsid w:val="003B6243"/>
    <w:rsid w:val="003C360F"/>
    <w:rsid w:val="003D4B0C"/>
    <w:rsid w:val="003E1E8A"/>
    <w:rsid w:val="003F4074"/>
    <w:rsid w:val="00410631"/>
    <w:rsid w:val="0042351D"/>
    <w:rsid w:val="00425DA3"/>
    <w:rsid w:val="004419EC"/>
    <w:rsid w:val="00450125"/>
    <w:rsid w:val="00473F43"/>
    <w:rsid w:val="00491D0A"/>
    <w:rsid w:val="00491DAE"/>
    <w:rsid w:val="00493A3A"/>
    <w:rsid w:val="004A7A06"/>
    <w:rsid w:val="004D03AF"/>
    <w:rsid w:val="005308ED"/>
    <w:rsid w:val="005554D2"/>
    <w:rsid w:val="005833DE"/>
    <w:rsid w:val="00586B1C"/>
    <w:rsid w:val="005A07E4"/>
    <w:rsid w:val="005A5764"/>
    <w:rsid w:val="005F5778"/>
    <w:rsid w:val="006079AC"/>
    <w:rsid w:val="0062726B"/>
    <w:rsid w:val="00630136"/>
    <w:rsid w:val="00635705"/>
    <w:rsid w:val="00642553"/>
    <w:rsid w:val="00643448"/>
    <w:rsid w:val="00655224"/>
    <w:rsid w:val="00681D32"/>
    <w:rsid w:val="00682AF9"/>
    <w:rsid w:val="00683CF2"/>
    <w:rsid w:val="006A662D"/>
    <w:rsid w:val="006B5B78"/>
    <w:rsid w:val="006B7573"/>
    <w:rsid w:val="00700F1D"/>
    <w:rsid w:val="0074270A"/>
    <w:rsid w:val="00751B84"/>
    <w:rsid w:val="0076014E"/>
    <w:rsid w:val="00760D18"/>
    <w:rsid w:val="00762457"/>
    <w:rsid w:val="0077657E"/>
    <w:rsid w:val="007B3DF9"/>
    <w:rsid w:val="007E3233"/>
    <w:rsid w:val="007F1C4E"/>
    <w:rsid w:val="008239BF"/>
    <w:rsid w:val="008540F8"/>
    <w:rsid w:val="00854FD0"/>
    <w:rsid w:val="00862F30"/>
    <w:rsid w:val="00874EDA"/>
    <w:rsid w:val="0089340C"/>
    <w:rsid w:val="00895470"/>
    <w:rsid w:val="008B2B9F"/>
    <w:rsid w:val="0091424D"/>
    <w:rsid w:val="00925E6B"/>
    <w:rsid w:val="0096069F"/>
    <w:rsid w:val="0096650C"/>
    <w:rsid w:val="009769EC"/>
    <w:rsid w:val="009822B2"/>
    <w:rsid w:val="00987F79"/>
    <w:rsid w:val="009A3970"/>
    <w:rsid w:val="009C5FB4"/>
    <w:rsid w:val="00A07A59"/>
    <w:rsid w:val="00A30A49"/>
    <w:rsid w:val="00A64765"/>
    <w:rsid w:val="00A8379F"/>
    <w:rsid w:val="00AE5556"/>
    <w:rsid w:val="00B125E2"/>
    <w:rsid w:val="00B13DCC"/>
    <w:rsid w:val="00B458D4"/>
    <w:rsid w:val="00B50B37"/>
    <w:rsid w:val="00B62990"/>
    <w:rsid w:val="00B84554"/>
    <w:rsid w:val="00BA3ABB"/>
    <w:rsid w:val="00BA3F94"/>
    <w:rsid w:val="00BA4448"/>
    <w:rsid w:val="00BB329C"/>
    <w:rsid w:val="00C30D54"/>
    <w:rsid w:val="00C326F6"/>
    <w:rsid w:val="00CA64FD"/>
    <w:rsid w:val="00CA7C49"/>
    <w:rsid w:val="00CB1D5C"/>
    <w:rsid w:val="00CC1083"/>
    <w:rsid w:val="00CD42ED"/>
    <w:rsid w:val="00D03FA5"/>
    <w:rsid w:val="00D43A6B"/>
    <w:rsid w:val="00D54E85"/>
    <w:rsid w:val="00DA0CFE"/>
    <w:rsid w:val="00DA6FC6"/>
    <w:rsid w:val="00DF7A37"/>
    <w:rsid w:val="00E132EE"/>
    <w:rsid w:val="00E51BEC"/>
    <w:rsid w:val="00EB601F"/>
    <w:rsid w:val="00EC16D5"/>
    <w:rsid w:val="00ED746B"/>
    <w:rsid w:val="00F23C8E"/>
    <w:rsid w:val="00F928FC"/>
    <w:rsid w:val="00FA0641"/>
    <w:rsid w:val="00FA4FB4"/>
    <w:rsid w:val="00FB54C4"/>
    <w:rsid w:val="00FC409F"/>
    <w:rsid w:val="00FC5230"/>
    <w:rsid w:val="00FC73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regrouptable v:ext="edit">
        <o:entry new="1"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35" w:unhideWhenUsed="1"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8D4"/>
    <w:pPr>
      <w:tabs>
        <w:tab w:val="center" w:pos="4320"/>
        <w:tab w:val="right" w:pos="8640"/>
      </w:tabs>
    </w:pPr>
  </w:style>
  <w:style w:type="paragraph" w:styleId="Footer">
    <w:name w:val="footer"/>
    <w:basedOn w:val="Normal"/>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rsid w:val="00925E6B"/>
    <w:rPr>
      <w:color w:val="0000FF"/>
      <w:u w:val="single"/>
    </w:rPr>
  </w:style>
  <w:style w:type="table" w:styleId="TableGrid">
    <w:name w:val="Table Grid"/>
    <w:basedOn w:val="TableNormal"/>
    <w:uiPriority w:val="59"/>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76014E"/>
    <w:rPr>
      <w:i/>
    </w:rPr>
  </w:style>
  <w:style w:type="paragraph" w:styleId="Caption">
    <w:name w:val="caption"/>
    <w:basedOn w:val="Normal"/>
    <w:next w:val="Normal"/>
    <w:uiPriority w:val="35"/>
    <w:qFormat/>
    <w:rsid w:val="00B125E2"/>
    <w:pPr>
      <w:spacing w:after="200"/>
    </w:pPr>
    <w:rPr>
      <w:rFonts w:ascii="Cambria" w:eastAsia="Cambria" w:hAnsi="Cambria"/>
      <w:b/>
      <w:bCs/>
      <w:color w:val="4F81BD"/>
      <w:sz w:val="18"/>
      <w:szCs w:val="18"/>
      <w:lang w:bidi="en-US"/>
    </w:rPr>
  </w:style>
  <w:style w:type="paragraph" w:styleId="ListParagraph">
    <w:name w:val="List Paragraph"/>
    <w:basedOn w:val="Normal"/>
    <w:uiPriority w:val="34"/>
    <w:qFormat/>
    <w:rsid w:val="00B125E2"/>
    <w:pPr>
      <w:ind w:left="720"/>
      <w:contextualSpacing/>
    </w:pPr>
  </w:style>
  <w:style w:type="paragraph" w:styleId="NoSpacing">
    <w:name w:val="No Spacing"/>
    <w:uiPriority w:val="1"/>
    <w:qFormat/>
    <w:rsid w:val="00B125E2"/>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35" w:unhideWhenUsed="1"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8D4"/>
    <w:pPr>
      <w:tabs>
        <w:tab w:val="center" w:pos="4320"/>
        <w:tab w:val="right" w:pos="8640"/>
      </w:tabs>
    </w:pPr>
  </w:style>
  <w:style w:type="paragraph" w:styleId="Footer">
    <w:name w:val="footer"/>
    <w:basedOn w:val="Normal"/>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rsid w:val="00925E6B"/>
    <w:rPr>
      <w:color w:val="0000FF"/>
      <w:u w:val="single"/>
    </w:rPr>
  </w:style>
  <w:style w:type="table" w:styleId="TableGrid">
    <w:name w:val="Table Grid"/>
    <w:basedOn w:val="TableNormal"/>
    <w:uiPriority w:val="59"/>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76014E"/>
    <w:rPr>
      <w:i/>
    </w:rPr>
  </w:style>
  <w:style w:type="paragraph" w:styleId="Caption">
    <w:name w:val="caption"/>
    <w:basedOn w:val="Normal"/>
    <w:next w:val="Normal"/>
    <w:uiPriority w:val="35"/>
    <w:qFormat/>
    <w:rsid w:val="00B125E2"/>
    <w:pPr>
      <w:spacing w:after="200"/>
    </w:pPr>
    <w:rPr>
      <w:rFonts w:ascii="Cambria" w:eastAsia="Cambria" w:hAnsi="Cambria"/>
      <w:b/>
      <w:bCs/>
      <w:color w:val="4F81BD"/>
      <w:sz w:val="18"/>
      <w:szCs w:val="18"/>
      <w:lang w:bidi="en-US"/>
    </w:rPr>
  </w:style>
  <w:style w:type="paragraph" w:styleId="ListParagraph">
    <w:name w:val="List Paragraph"/>
    <w:basedOn w:val="Normal"/>
    <w:uiPriority w:val="34"/>
    <w:qFormat/>
    <w:rsid w:val="00B125E2"/>
    <w:pPr>
      <w:ind w:left="720"/>
      <w:contextualSpacing/>
    </w:pPr>
  </w:style>
  <w:style w:type="paragraph" w:styleId="NoSpacing">
    <w:name w:val="No Spacing"/>
    <w:uiPriority w:val="1"/>
    <w:qFormat/>
    <w:rsid w:val="00B125E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3950</Words>
  <Characters>22521</Characters>
  <Application>Microsoft Macintosh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PASTE TITLE HERE</vt:lpstr>
    </vt:vector>
  </TitlesOfParts>
  <Company>California State University, Fullerton</Company>
  <LinksUpToDate>false</LinksUpToDate>
  <CharactersWithSpaces>26419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PASTE TITLE HERE</dc:title>
  <dc:subject>Californian Journal of Health Promotion 2011 Volume 9 Issue 2</dc:subject>
  <dc:creator>PASTE AUTHOR HERE</dc:creator>
  <cp:keywords>PASTE KEYWORDS HERE</cp:keywords>
  <dc:description>http://www.cjhp.org</dc:description>
  <cp:lastModifiedBy>Georgia Halkia</cp:lastModifiedBy>
  <cp:revision>2</cp:revision>
  <cp:lastPrinted>2007-09-01T20:45:00Z</cp:lastPrinted>
  <dcterms:created xsi:type="dcterms:W3CDTF">2012-11-21T17:07:00Z</dcterms:created>
  <dcterms:modified xsi:type="dcterms:W3CDTF">2012-11-21T17:07:00Z</dcterms:modified>
</cp:coreProperties>
</file>