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B473E1" w14:textId="77777777" w:rsidR="00630136" w:rsidRDefault="00630136">
      <w:pPr>
        <w:pStyle w:val="Header"/>
        <w:tabs>
          <w:tab w:val="clear" w:pos="4320"/>
          <w:tab w:val="clear" w:pos="8640"/>
        </w:tabs>
        <w:jc w:val="center"/>
      </w:pPr>
    </w:p>
    <w:p w14:paraId="16CE3969" w14:textId="77777777" w:rsidR="00A074DF" w:rsidRPr="00A074DF" w:rsidRDefault="00A074DF" w:rsidP="00A074DF">
      <w:pPr>
        <w:pStyle w:val="Header"/>
        <w:jc w:val="center"/>
        <w:rPr>
          <w:sz w:val="28"/>
        </w:rPr>
      </w:pPr>
      <w:proofErr w:type="spellStart"/>
      <w:r w:rsidRPr="00A074DF">
        <w:rPr>
          <w:sz w:val="28"/>
        </w:rPr>
        <w:t>Amigas</w:t>
      </w:r>
      <w:proofErr w:type="spellEnd"/>
      <w:r w:rsidRPr="00A074DF">
        <w:rPr>
          <w:sz w:val="28"/>
        </w:rPr>
        <w:t xml:space="preserve"> Latinas </w:t>
      </w:r>
      <w:proofErr w:type="spellStart"/>
      <w:r w:rsidRPr="00A074DF">
        <w:rPr>
          <w:sz w:val="28"/>
        </w:rPr>
        <w:t>Motivando</w:t>
      </w:r>
      <w:proofErr w:type="spellEnd"/>
      <w:r w:rsidRPr="00A074DF">
        <w:rPr>
          <w:sz w:val="28"/>
        </w:rPr>
        <w:t xml:space="preserve"> el ALMA (ALMA): </w:t>
      </w:r>
    </w:p>
    <w:p w14:paraId="007D2D3E" w14:textId="77777777" w:rsidR="00854FD0" w:rsidRPr="00643448" w:rsidRDefault="00A074DF" w:rsidP="00A074DF">
      <w:pPr>
        <w:pStyle w:val="Header"/>
        <w:tabs>
          <w:tab w:val="clear" w:pos="4320"/>
          <w:tab w:val="clear" w:pos="8640"/>
        </w:tabs>
        <w:jc w:val="center"/>
        <w:rPr>
          <w:sz w:val="28"/>
        </w:rPr>
      </w:pPr>
      <w:r w:rsidRPr="00A074DF">
        <w:rPr>
          <w:sz w:val="28"/>
        </w:rPr>
        <w:t xml:space="preserve">Development and Pilot Implementation of a Stress Reduction </w:t>
      </w:r>
      <w:proofErr w:type="spellStart"/>
      <w:r w:rsidRPr="00A074DF">
        <w:rPr>
          <w:sz w:val="28"/>
        </w:rPr>
        <w:t>Promotora</w:t>
      </w:r>
      <w:proofErr w:type="spellEnd"/>
      <w:r w:rsidRPr="00A074DF">
        <w:rPr>
          <w:sz w:val="28"/>
        </w:rPr>
        <w:t xml:space="preserve"> Intervention</w:t>
      </w:r>
    </w:p>
    <w:p w14:paraId="5D3D4A8F" w14:textId="77777777" w:rsidR="00DF7A37" w:rsidRPr="00DF7A37" w:rsidRDefault="00DF7A37">
      <w:pPr>
        <w:pStyle w:val="Header"/>
        <w:tabs>
          <w:tab w:val="clear" w:pos="4320"/>
          <w:tab w:val="clear" w:pos="8640"/>
        </w:tabs>
        <w:jc w:val="center"/>
        <w:rPr>
          <w:sz w:val="20"/>
          <w:szCs w:val="20"/>
        </w:rPr>
      </w:pPr>
    </w:p>
    <w:p w14:paraId="13624225" w14:textId="77777777" w:rsidR="00854FD0" w:rsidRPr="002331C1" w:rsidRDefault="00A074DF">
      <w:pPr>
        <w:pStyle w:val="Header"/>
        <w:tabs>
          <w:tab w:val="clear" w:pos="4320"/>
          <w:tab w:val="clear" w:pos="8640"/>
        </w:tabs>
        <w:jc w:val="center"/>
      </w:pPr>
      <w:r w:rsidRPr="00A074DF">
        <w:t>Melissa A. Green</w:t>
      </w:r>
      <w:r w:rsidR="00811A71" w:rsidRPr="00811A71">
        <w:rPr>
          <w:vertAlign w:val="superscript"/>
        </w:rPr>
        <w:t>1</w:t>
      </w:r>
      <w:r>
        <w:t xml:space="preserve">, </w:t>
      </w:r>
      <w:r w:rsidRPr="00A074DF">
        <w:t>Georgina Perez</w:t>
      </w:r>
      <w:r>
        <w:t xml:space="preserve">, </w:t>
      </w:r>
      <w:r w:rsidRPr="00A074DF">
        <w:t>India J. Ornelas</w:t>
      </w:r>
      <w:r w:rsidR="00811A71" w:rsidRPr="00811A71">
        <w:rPr>
          <w:vertAlign w:val="superscript"/>
        </w:rPr>
        <w:t>2</w:t>
      </w:r>
      <w:r>
        <w:t xml:space="preserve">, </w:t>
      </w:r>
      <w:proofErr w:type="spellStart"/>
      <w:r w:rsidRPr="00A074DF">
        <w:t>Anh</w:t>
      </w:r>
      <w:proofErr w:type="spellEnd"/>
      <w:r w:rsidRPr="00A074DF">
        <w:t xml:space="preserve"> N. Tran</w:t>
      </w:r>
      <w:r w:rsidR="00811A71">
        <w:rPr>
          <w:vertAlign w:val="superscript"/>
        </w:rPr>
        <w:t>2</w:t>
      </w:r>
      <w:r>
        <w:t xml:space="preserve">, </w:t>
      </w:r>
      <w:r w:rsidRPr="00A074DF">
        <w:t>Connie Blumenthal</w:t>
      </w:r>
      <w:r w:rsidR="00811A71" w:rsidRPr="00811A71">
        <w:rPr>
          <w:vertAlign w:val="superscript"/>
        </w:rPr>
        <w:t>1</w:t>
      </w:r>
      <w:r>
        <w:t xml:space="preserve">, </w:t>
      </w:r>
      <w:r w:rsidRPr="00A074DF">
        <w:t>Michelle Lyn</w:t>
      </w:r>
      <w:r w:rsidR="00811A71">
        <w:rPr>
          <w:vertAlign w:val="superscript"/>
        </w:rPr>
        <w:t>2</w:t>
      </w:r>
      <w:r>
        <w:t xml:space="preserve">, and </w:t>
      </w:r>
      <w:r w:rsidRPr="00A074DF">
        <w:t>Giselle Corbie-Smith</w:t>
      </w:r>
      <w:r w:rsidR="00811A71" w:rsidRPr="00811A71">
        <w:rPr>
          <w:vertAlign w:val="superscript"/>
        </w:rPr>
        <w:t>1</w:t>
      </w:r>
    </w:p>
    <w:p w14:paraId="3B903D7D" w14:textId="77777777" w:rsidR="00854FD0" w:rsidRDefault="00854FD0">
      <w:pPr>
        <w:pStyle w:val="Header"/>
        <w:tabs>
          <w:tab w:val="clear" w:pos="4320"/>
          <w:tab w:val="clear" w:pos="8640"/>
        </w:tabs>
        <w:jc w:val="center"/>
        <w:rPr>
          <w:sz w:val="20"/>
        </w:rPr>
      </w:pPr>
    </w:p>
    <w:p w14:paraId="2793B928" w14:textId="77777777" w:rsidR="002F77B0" w:rsidRDefault="00811A71">
      <w:pPr>
        <w:pStyle w:val="Header"/>
        <w:tabs>
          <w:tab w:val="clear" w:pos="4320"/>
          <w:tab w:val="clear" w:pos="8640"/>
        </w:tabs>
        <w:jc w:val="center"/>
        <w:rPr>
          <w:i/>
          <w:iCs/>
        </w:rPr>
      </w:pPr>
      <w:r w:rsidRPr="00811A71">
        <w:rPr>
          <w:vertAlign w:val="superscript"/>
        </w:rPr>
        <w:t>1</w:t>
      </w:r>
      <w:r w:rsidR="00A074DF" w:rsidRPr="00A074DF">
        <w:rPr>
          <w:i/>
          <w:iCs/>
        </w:rPr>
        <w:t>University of North Carolina</w:t>
      </w:r>
      <w:r>
        <w:rPr>
          <w:i/>
          <w:iCs/>
        </w:rPr>
        <w:t>, NC</w:t>
      </w:r>
    </w:p>
    <w:p w14:paraId="6932F7B7" w14:textId="77777777" w:rsidR="00A074DF" w:rsidRDefault="00811A71">
      <w:pPr>
        <w:pStyle w:val="Header"/>
        <w:tabs>
          <w:tab w:val="clear" w:pos="4320"/>
          <w:tab w:val="clear" w:pos="8640"/>
        </w:tabs>
        <w:jc w:val="center"/>
        <w:rPr>
          <w:i/>
          <w:iCs/>
        </w:rPr>
      </w:pPr>
      <w:r w:rsidRPr="00811A71">
        <w:rPr>
          <w:vertAlign w:val="superscript"/>
        </w:rPr>
        <w:t>2</w:t>
      </w:r>
      <w:r w:rsidR="00A074DF" w:rsidRPr="00A074DF">
        <w:rPr>
          <w:i/>
          <w:iCs/>
        </w:rPr>
        <w:t>Duke University</w:t>
      </w:r>
      <w:r w:rsidR="00A074DF">
        <w:rPr>
          <w:i/>
          <w:iCs/>
        </w:rPr>
        <w:t>, NC</w:t>
      </w:r>
    </w:p>
    <w:p w14:paraId="63560C8F" w14:textId="77777777" w:rsidR="00A074DF" w:rsidRPr="002331C1" w:rsidRDefault="00A074DF">
      <w:pPr>
        <w:pStyle w:val="Header"/>
        <w:tabs>
          <w:tab w:val="clear" w:pos="4320"/>
          <w:tab w:val="clear" w:pos="8640"/>
        </w:tabs>
        <w:jc w:val="center"/>
        <w:rPr>
          <w:i/>
          <w:iCs/>
        </w:rPr>
      </w:pPr>
    </w:p>
    <w:p w14:paraId="772CA50F" w14:textId="77777777" w:rsidR="00854FD0" w:rsidRDefault="00854FD0">
      <w:pPr>
        <w:rPr>
          <w:sz w:val="22"/>
        </w:rPr>
      </w:pPr>
    </w:p>
    <w:p w14:paraId="06C52BDC" w14:textId="77777777" w:rsidR="00854FD0" w:rsidRPr="00450125" w:rsidRDefault="00854FD0" w:rsidP="00450125">
      <w:pPr>
        <w:pStyle w:val="Heading2"/>
        <w:spacing w:line="360" w:lineRule="auto"/>
        <w:jc w:val="center"/>
        <w:rPr>
          <w:sz w:val="24"/>
        </w:rPr>
      </w:pPr>
      <w:r w:rsidRPr="00450125">
        <w:rPr>
          <w:sz w:val="24"/>
        </w:rPr>
        <w:t>Abstract</w:t>
      </w:r>
    </w:p>
    <w:p w14:paraId="553050B1" w14:textId="77777777" w:rsidR="00854FD0" w:rsidRDefault="00A074DF" w:rsidP="00A074DF">
      <w:pPr>
        <w:jc w:val="both"/>
        <w:rPr>
          <w:sz w:val="22"/>
          <w:szCs w:val="22"/>
        </w:rPr>
      </w:pPr>
      <w:r w:rsidRPr="00A074DF">
        <w:rPr>
          <w:sz w:val="22"/>
          <w:szCs w:val="22"/>
        </w:rPr>
        <w:t>Use of mental health care services for psychological distress is limited among Latino immigrants. In geographic areas where migration has been rapid, mental health systems possess limited capacity to provide bilingual and bicultural assistance. The development of a bilingual and bicultural workforce is a necessary yet long-term solution. More immediate strategies, however, are needed to meet t</w:t>
      </w:r>
      <w:r>
        <w:rPr>
          <w:sz w:val="22"/>
          <w:szCs w:val="22"/>
        </w:rPr>
        <w:t xml:space="preserve">he needs of immigrant Latinos. </w:t>
      </w:r>
      <w:r w:rsidRPr="00A074DF">
        <w:rPr>
          <w:sz w:val="22"/>
          <w:szCs w:val="22"/>
        </w:rPr>
        <w:t xml:space="preserve">This paper describes the development of a stress-reduction </w:t>
      </w:r>
      <w:proofErr w:type="gramStart"/>
      <w:r w:rsidRPr="00A074DF">
        <w:rPr>
          <w:sz w:val="22"/>
          <w:szCs w:val="22"/>
        </w:rPr>
        <w:t>focused,</w:t>
      </w:r>
      <w:proofErr w:type="gramEnd"/>
      <w:r w:rsidRPr="00A074DF">
        <w:rPr>
          <w:sz w:val="22"/>
          <w:szCs w:val="22"/>
        </w:rPr>
        <w:t xml:space="preserve"> lay health advisor training that targets individual behavior change among Latina immigrants. The theoretical foundation, curriculum components, and pilot implementation of the training are discussed.  As natural leaders, Latina </w:t>
      </w:r>
      <w:proofErr w:type="spellStart"/>
      <w:r w:rsidRPr="00A074DF">
        <w:rPr>
          <w:sz w:val="22"/>
          <w:szCs w:val="22"/>
        </w:rPr>
        <w:t>promotoras</w:t>
      </w:r>
      <w:proofErr w:type="spellEnd"/>
      <w:r w:rsidRPr="00A074DF">
        <w:rPr>
          <w:sz w:val="22"/>
          <w:szCs w:val="22"/>
        </w:rPr>
        <w:t xml:space="preserve"> disseminated learned strategies and resources within their communities. The lay health advisor model is a salient method for disseminating information regarding mental health and stress reduction among Latinas.</w:t>
      </w:r>
    </w:p>
    <w:p w14:paraId="399471DD" w14:textId="77777777" w:rsidR="002331C1" w:rsidRPr="00ED746B" w:rsidRDefault="002331C1" w:rsidP="00ED746B">
      <w:pPr>
        <w:rPr>
          <w:sz w:val="22"/>
          <w:szCs w:val="22"/>
        </w:rPr>
      </w:pPr>
    </w:p>
    <w:p w14:paraId="0EE103C7" w14:textId="77777777" w:rsidR="00854FD0" w:rsidRPr="00655224" w:rsidRDefault="000959DC" w:rsidP="00630136">
      <w:pPr>
        <w:rPr>
          <w:sz w:val="20"/>
          <w:szCs w:val="20"/>
        </w:rPr>
      </w:pPr>
      <w:proofErr w:type="gramStart"/>
      <w:r>
        <w:rPr>
          <w:sz w:val="20"/>
          <w:szCs w:val="20"/>
        </w:rPr>
        <w:t>©</w:t>
      </w:r>
      <w:r w:rsidR="006A662D">
        <w:rPr>
          <w:sz w:val="20"/>
          <w:szCs w:val="20"/>
        </w:rPr>
        <w:t xml:space="preserve"> </w:t>
      </w:r>
      <w:r w:rsidR="003F4074">
        <w:rPr>
          <w:sz w:val="20"/>
          <w:szCs w:val="20"/>
        </w:rPr>
        <w:t>2012</w:t>
      </w:r>
      <w:r w:rsidR="00762457" w:rsidRPr="00655224">
        <w:rPr>
          <w:sz w:val="20"/>
          <w:szCs w:val="20"/>
        </w:rPr>
        <w:t xml:space="preserve"> </w:t>
      </w:r>
      <w:r w:rsidR="00854FD0" w:rsidRPr="00655224">
        <w:rPr>
          <w:sz w:val="20"/>
          <w:szCs w:val="20"/>
        </w:rPr>
        <w:t>Californian Journal of Health Promotion</w:t>
      </w:r>
      <w:r>
        <w:rPr>
          <w:sz w:val="20"/>
          <w:szCs w:val="20"/>
        </w:rPr>
        <w:t>.</w:t>
      </w:r>
      <w:proofErr w:type="gramEnd"/>
      <w:r>
        <w:rPr>
          <w:sz w:val="20"/>
          <w:szCs w:val="20"/>
        </w:rPr>
        <w:t xml:space="preserve"> </w:t>
      </w:r>
      <w:r w:rsidR="00854FD0" w:rsidRPr="00655224">
        <w:rPr>
          <w:sz w:val="20"/>
          <w:szCs w:val="20"/>
        </w:rPr>
        <w:t>All rights reserved.</w:t>
      </w:r>
    </w:p>
    <w:p w14:paraId="695AB09F" w14:textId="77777777" w:rsidR="00854FD0" w:rsidRPr="00643448" w:rsidRDefault="00854FD0" w:rsidP="00630136">
      <w:pPr>
        <w:rPr>
          <w:i/>
          <w:iCs/>
          <w:sz w:val="20"/>
          <w:szCs w:val="20"/>
        </w:rPr>
      </w:pPr>
      <w:r w:rsidRPr="00655224">
        <w:rPr>
          <w:i/>
          <w:iCs/>
          <w:sz w:val="20"/>
          <w:szCs w:val="20"/>
        </w:rPr>
        <w:t>Keywords:</w:t>
      </w:r>
      <w:r w:rsidR="00A074DF" w:rsidRPr="00A074DF">
        <w:t xml:space="preserve"> </w:t>
      </w:r>
      <w:r w:rsidR="00A074DF" w:rsidRPr="00A074DF">
        <w:rPr>
          <w:i/>
          <w:iCs/>
          <w:sz w:val="20"/>
          <w:szCs w:val="20"/>
        </w:rPr>
        <w:t xml:space="preserve">Latinos, </w:t>
      </w:r>
      <w:r w:rsidR="00A074DF">
        <w:rPr>
          <w:i/>
          <w:iCs/>
          <w:sz w:val="20"/>
          <w:szCs w:val="20"/>
        </w:rPr>
        <w:t>l</w:t>
      </w:r>
      <w:r w:rsidR="00A074DF" w:rsidRPr="00A074DF">
        <w:rPr>
          <w:i/>
          <w:iCs/>
          <w:sz w:val="20"/>
          <w:szCs w:val="20"/>
        </w:rPr>
        <w:t xml:space="preserve">ay </w:t>
      </w:r>
      <w:r w:rsidR="00A074DF">
        <w:rPr>
          <w:i/>
          <w:iCs/>
          <w:sz w:val="20"/>
          <w:szCs w:val="20"/>
        </w:rPr>
        <w:t>h</w:t>
      </w:r>
      <w:r w:rsidR="00A074DF" w:rsidRPr="00A074DF">
        <w:rPr>
          <w:i/>
          <w:iCs/>
          <w:sz w:val="20"/>
          <w:szCs w:val="20"/>
        </w:rPr>
        <w:t xml:space="preserve">ealth </w:t>
      </w:r>
      <w:r w:rsidR="00A074DF">
        <w:rPr>
          <w:i/>
          <w:iCs/>
          <w:sz w:val="20"/>
          <w:szCs w:val="20"/>
        </w:rPr>
        <w:t>a</w:t>
      </w:r>
      <w:r w:rsidR="00A074DF" w:rsidRPr="00A074DF">
        <w:rPr>
          <w:i/>
          <w:iCs/>
          <w:sz w:val="20"/>
          <w:szCs w:val="20"/>
        </w:rPr>
        <w:t xml:space="preserve">dvisors, </w:t>
      </w:r>
      <w:proofErr w:type="spellStart"/>
      <w:r w:rsidR="00A074DF">
        <w:rPr>
          <w:i/>
          <w:iCs/>
          <w:sz w:val="20"/>
          <w:szCs w:val="20"/>
        </w:rPr>
        <w:t>p</w:t>
      </w:r>
      <w:r w:rsidR="00A074DF" w:rsidRPr="00A074DF">
        <w:rPr>
          <w:i/>
          <w:iCs/>
          <w:sz w:val="20"/>
          <w:szCs w:val="20"/>
        </w:rPr>
        <w:t>romotoras</w:t>
      </w:r>
      <w:proofErr w:type="spellEnd"/>
      <w:r w:rsidR="00A074DF" w:rsidRPr="00A074DF">
        <w:rPr>
          <w:i/>
          <w:iCs/>
          <w:sz w:val="20"/>
          <w:szCs w:val="20"/>
        </w:rPr>
        <w:t xml:space="preserve">, </w:t>
      </w:r>
      <w:r w:rsidR="00A074DF">
        <w:rPr>
          <w:i/>
          <w:iCs/>
          <w:sz w:val="20"/>
          <w:szCs w:val="20"/>
        </w:rPr>
        <w:t>m</w:t>
      </w:r>
      <w:r w:rsidR="00A074DF" w:rsidRPr="00A074DF">
        <w:rPr>
          <w:i/>
          <w:iCs/>
          <w:sz w:val="20"/>
          <w:szCs w:val="20"/>
        </w:rPr>
        <w:t xml:space="preserve">ental health, </w:t>
      </w:r>
      <w:r w:rsidR="00A074DF">
        <w:rPr>
          <w:i/>
          <w:iCs/>
          <w:sz w:val="20"/>
          <w:szCs w:val="20"/>
        </w:rPr>
        <w:t>i</w:t>
      </w:r>
      <w:r w:rsidR="00A074DF" w:rsidRPr="00A074DF">
        <w:rPr>
          <w:i/>
          <w:iCs/>
          <w:sz w:val="20"/>
          <w:szCs w:val="20"/>
        </w:rPr>
        <w:t>mmigrant</w:t>
      </w:r>
      <w:r w:rsidRPr="00655224">
        <w:rPr>
          <w:i/>
          <w:iCs/>
          <w:sz w:val="20"/>
          <w:szCs w:val="20"/>
        </w:rPr>
        <w:t xml:space="preserve"> </w:t>
      </w:r>
    </w:p>
    <w:p w14:paraId="5736C0F7" w14:textId="77777777" w:rsidR="00854FD0" w:rsidRPr="00655224" w:rsidRDefault="00854FD0">
      <w:pPr>
        <w:rPr>
          <w:sz w:val="22"/>
          <w:szCs w:val="22"/>
        </w:rPr>
      </w:pPr>
    </w:p>
    <w:p w14:paraId="6A95B193" w14:textId="77777777" w:rsidR="00155C82" w:rsidRPr="00655224" w:rsidRDefault="00155C82" w:rsidP="00155C82">
      <w:pPr>
        <w:rPr>
          <w:sz w:val="22"/>
          <w:szCs w:val="22"/>
        </w:rPr>
      </w:pPr>
    </w:p>
    <w:p w14:paraId="0BCA392F" w14:textId="77777777" w:rsidR="00155C82" w:rsidRPr="00655224" w:rsidRDefault="00155C82" w:rsidP="00155C82">
      <w:pPr>
        <w:rPr>
          <w:b/>
          <w:sz w:val="22"/>
          <w:szCs w:val="22"/>
        </w:rPr>
        <w:sectPr w:rsidR="00155C82" w:rsidRPr="00655224" w:rsidSect="0000774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52"/>
          <w:cols w:space="720"/>
          <w:docGrid w:linePitch="360"/>
        </w:sectPr>
      </w:pPr>
    </w:p>
    <w:p w14:paraId="68007F50" w14:textId="77777777" w:rsidR="00A074DF" w:rsidRPr="00A074DF" w:rsidRDefault="00A074DF" w:rsidP="00A074DF">
      <w:pPr>
        <w:jc w:val="center"/>
        <w:rPr>
          <w:b/>
          <w:sz w:val="22"/>
          <w:szCs w:val="22"/>
        </w:rPr>
      </w:pPr>
      <w:r w:rsidRPr="00A074DF">
        <w:rPr>
          <w:b/>
          <w:sz w:val="22"/>
          <w:szCs w:val="22"/>
        </w:rPr>
        <w:lastRenderedPageBreak/>
        <w:t>Introduction</w:t>
      </w:r>
    </w:p>
    <w:p w14:paraId="76210596" w14:textId="77777777" w:rsidR="00A074DF" w:rsidRDefault="00A074DF" w:rsidP="00A074DF">
      <w:pPr>
        <w:ind w:firstLine="720"/>
        <w:jc w:val="both"/>
        <w:rPr>
          <w:sz w:val="22"/>
          <w:szCs w:val="22"/>
        </w:rPr>
      </w:pPr>
    </w:p>
    <w:p w14:paraId="6BE0506A" w14:textId="77777777" w:rsidR="00A074DF" w:rsidRPr="00A074DF" w:rsidRDefault="00A074DF" w:rsidP="00A074DF">
      <w:pPr>
        <w:jc w:val="both"/>
        <w:rPr>
          <w:sz w:val="22"/>
          <w:szCs w:val="22"/>
        </w:rPr>
      </w:pPr>
      <w:r w:rsidRPr="00A074DF">
        <w:rPr>
          <w:sz w:val="22"/>
          <w:szCs w:val="22"/>
        </w:rPr>
        <w:t xml:space="preserve">Individuals suffering from psychological distress have difficulty gaining treatment for mental health disorders with the greatest unmet need among traditionally underserved groups </w:t>
      </w:r>
      <w:r w:rsidRPr="00A074DF">
        <w:rPr>
          <w:noProof/>
          <w:sz w:val="22"/>
          <w:szCs w:val="22"/>
        </w:rPr>
        <w:t>(Wang et al., 2005)</w:t>
      </w:r>
      <w:r w:rsidRPr="00A074DF">
        <w:rPr>
          <w:sz w:val="22"/>
          <w:szCs w:val="22"/>
        </w:rPr>
        <w:t xml:space="preserve">.  In particular, help-seeking behaviors among Latino immigrants diagnosed with depression are considered among the lowest.  Less than 4% of Latino immigrants with a mental health diagnosis reporting receiving care </w:t>
      </w:r>
      <w:r w:rsidRPr="00A074DF">
        <w:rPr>
          <w:noProof/>
          <w:sz w:val="22"/>
          <w:szCs w:val="22"/>
        </w:rPr>
        <w:t>(Mezzich et al., 1999; North Carolina Institue of Medicine, 2003; US Department of Health and Human Services, 2001; Vega et al., 2001)</w:t>
      </w:r>
      <w:r w:rsidRPr="00A074DF">
        <w:rPr>
          <w:sz w:val="22"/>
          <w:szCs w:val="22"/>
        </w:rPr>
        <w:t xml:space="preserve">.  Unmet mental health care needs compromise families, workplaces, and communities and are often co-morbid with a range of other health conditions in health disparity populations </w:t>
      </w:r>
      <w:r w:rsidRPr="00A074DF">
        <w:rPr>
          <w:noProof/>
          <w:sz w:val="22"/>
          <w:szCs w:val="22"/>
        </w:rPr>
        <w:t>(Jorm et al., 2006; Wang, et al., 2005)</w:t>
      </w:r>
      <w:r>
        <w:rPr>
          <w:sz w:val="22"/>
          <w:szCs w:val="22"/>
        </w:rPr>
        <w:t>.</w:t>
      </w:r>
    </w:p>
    <w:p w14:paraId="1779D557" w14:textId="77777777" w:rsidR="00A074DF" w:rsidRDefault="00A074DF" w:rsidP="00A074DF">
      <w:pPr>
        <w:jc w:val="both"/>
        <w:rPr>
          <w:sz w:val="22"/>
          <w:szCs w:val="22"/>
        </w:rPr>
      </w:pPr>
    </w:p>
    <w:p w14:paraId="37FA348F" w14:textId="77777777" w:rsidR="00A074DF" w:rsidRDefault="00A074DF" w:rsidP="00A074DF">
      <w:pPr>
        <w:jc w:val="both"/>
        <w:rPr>
          <w:sz w:val="22"/>
          <w:szCs w:val="22"/>
        </w:rPr>
      </w:pPr>
      <w:r w:rsidRPr="00A074DF">
        <w:rPr>
          <w:sz w:val="22"/>
          <w:szCs w:val="22"/>
        </w:rPr>
        <w:lastRenderedPageBreak/>
        <w:t xml:space="preserve">The dramatic increase in Latino immigrants both to areas with long-established Latino populations and in newer areas of migration such as the Midwest and South </w:t>
      </w:r>
      <w:r w:rsidRPr="00A074DF">
        <w:rPr>
          <w:noProof/>
          <w:sz w:val="22"/>
          <w:szCs w:val="22"/>
        </w:rPr>
        <w:t>(Fry, 2008)</w:t>
      </w:r>
      <w:r w:rsidRPr="00A074DF">
        <w:rPr>
          <w:sz w:val="22"/>
          <w:szCs w:val="22"/>
        </w:rPr>
        <w:t xml:space="preserve"> suggests the unmet need in mental health will only increase.  Both rural and urban communities have experienced this growth.  In North Carolina, the Latino population grew 394% from 1990 (76,726) to 2000 (378,963) and represented 8% (800,120) the state’s population as of 2010 </w:t>
      </w:r>
      <w:r w:rsidRPr="00A074DF">
        <w:rPr>
          <w:noProof/>
          <w:sz w:val="22"/>
          <w:szCs w:val="22"/>
        </w:rPr>
        <w:t>(North Carolina Institue of Medicine, 2003; US Department of Health and Human Services, 2001)</w:t>
      </w:r>
      <w:r w:rsidRPr="00A074DF">
        <w:rPr>
          <w:sz w:val="22"/>
          <w:szCs w:val="22"/>
        </w:rPr>
        <w:t xml:space="preserve">.  Fifty-three percent of Latinos in North Carolina were foreign born, representing the third highest ethnic/racial group in the United States.  The majority (65%) report Mexican origin, and most (84%) </w:t>
      </w:r>
      <w:proofErr w:type="gramStart"/>
      <w:r w:rsidRPr="00A074DF">
        <w:rPr>
          <w:sz w:val="22"/>
          <w:szCs w:val="22"/>
        </w:rPr>
        <w:t>speak</w:t>
      </w:r>
      <w:proofErr w:type="gramEnd"/>
      <w:r w:rsidRPr="00A074DF">
        <w:rPr>
          <w:sz w:val="22"/>
          <w:szCs w:val="22"/>
        </w:rPr>
        <w:t xml:space="preserve"> a language other than English at home </w:t>
      </w:r>
      <w:r w:rsidRPr="00A074DF">
        <w:rPr>
          <w:noProof/>
          <w:sz w:val="22"/>
          <w:szCs w:val="22"/>
        </w:rPr>
        <w:t>(Fry, 2008; North Carolina Institue of Medicine, 2003)</w:t>
      </w:r>
      <w:r w:rsidRPr="00A074DF">
        <w:rPr>
          <w:sz w:val="22"/>
          <w:szCs w:val="22"/>
        </w:rPr>
        <w:t>.</w:t>
      </w:r>
    </w:p>
    <w:p w14:paraId="14BF3682" w14:textId="77777777" w:rsidR="000C0D73" w:rsidRDefault="000C0D73" w:rsidP="000C0D73">
      <w:pPr>
        <w:jc w:val="both"/>
        <w:rPr>
          <w:sz w:val="22"/>
          <w:szCs w:val="22"/>
        </w:rPr>
      </w:pPr>
    </w:p>
    <w:p w14:paraId="069AC391" w14:textId="77777777" w:rsidR="00A074DF" w:rsidRPr="00A074DF" w:rsidRDefault="00A074DF" w:rsidP="000C0D73">
      <w:pPr>
        <w:jc w:val="both"/>
        <w:rPr>
          <w:sz w:val="22"/>
          <w:szCs w:val="22"/>
        </w:rPr>
      </w:pPr>
      <w:r w:rsidRPr="00A074DF">
        <w:rPr>
          <w:sz w:val="22"/>
          <w:szCs w:val="22"/>
        </w:rPr>
        <w:lastRenderedPageBreak/>
        <w:t>Several factors limit health care access for immigrants.  Welfare reform policies such as the Personal Responsible and Work Opportunity Reconciliation Act (PWORA) limit eligibility for publicly funded services for both legal and undocumented immigrants (</w:t>
      </w:r>
      <w:proofErr w:type="spellStart"/>
      <w:r w:rsidRPr="00A074DF">
        <w:rPr>
          <w:sz w:val="22"/>
          <w:szCs w:val="22"/>
        </w:rPr>
        <w:t>Derose</w:t>
      </w:r>
      <w:proofErr w:type="spellEnd"/>
      <w:r w:rsidRPr="00A074DF">
        <w:rPr>
          <w:sz w:val="22"/>
          <w:szCs w:val="22"/>
        </w:rPr>
        <w:t xml:space="preserve">, 2007).  Additional factors such as low socioeconomic status, limited English proficiency, geographic setting (particularly settings in which Latino immigration is a new occurrence), and stigma and marginalization from their new community and local health services further influence the extent to which immigrants are  vulnerable to limited health care access  </w:t>
      </w:r>
      <w:r w:rsidRPr="00A074DF">
        <w:rPr>
          <w:noProof/>
          <w:sz w:val="22"/>
          <w:szCs w:val="22"/>
        </w:rPr>
        <w:t>(Corbie-Smith et al., 2010; Derose et al., 2007; Finch et al., 2003)</w:t>
      </w:r>
      <w:r w:rsidRPr="00A074DF">
        <w:rPr>
          <w:sz w:val="22"/>
          <w:szCs w:val="22"/>
        </w:rPr>
        <w:t>. Solutions that countermand this vulnerability are needed.</w:t>
      </w:r>
    </w:p>
    <w:p w14:paraId="7A4D36D6" w14:textId="77777777" w:rsidR="000C0D73" w:rsidRDefault="000C0D73" w:rsidP="000C0D73">
      <w:pPr>
        <w:jc w:val="both"/>
        <w:rPr>
          <w:sz w:val="22"/>
          <w:szCs w:val="22"/>
        </w:rPr>
      </w:pPr>
    </w:p>
    <w:p w14:paraId="7F3DB38A" w14:textId="77777777" w:rsidR="00A074DF" w:rsidRPr="00A074DF" w:rsidRDefault="00A074DF" w:rsidP="000C0D73">
      <w:pPr>
        <w:jc w:val="both"/>
        <w:rPr>
          <w:sz w:val="22"/>
          <w:szCs w:val="22"/>
        </w:rPr>
      </w:pPr>
      <w:r w:rsidRPr="00A074DF">
        <w:rPr>
          <w:sz w:val="22"/>
          <w:szCs w:val="22"/>
        </w:rPr>
        <w:t>Community-based interventions that build on the strengths of Latino communities may provide preventive resolution.  One example is the Lay Health Advisor (LHA) model.  This manuscript describes the development of ALMA (</w:t>
      </w:r>
      <w:proofErr w:type="spellStart"/>
      <w:r w:rsidRPr="00A074DF">
        <w:rPr>
          <w:sz w:val="22"/>
          <w:szCs w:val="22"/>
        </w:rPr>
        <w:t>Amigas</w:t>
      </w:r>
      <w:proofErr w:type="spellEnd"/>
      <w:r w:rsidRPr="00A074DF">
        <w:rPr>
          <w:sz w:val="22"/>
          <w:szCs w:val="22"/>
        </w:rPr>
        <w:t xml:space="preserve"> Latinas </w:t>
      </w:r>
      <w:proofErr w:type="spellStart"/>
      <w:r w:rsidRPr="00A074DF">
        <w:rPr>
          <w:sz w:val="22"/>
          <w:szCs w:val="22"/>
        </w:rPr>
        <w:t>Motivando</w:t>
      </w:r>
      <w:proofErr w:type="spellEnd"/>
      <w:r w:rsidRPr="00A074DF">
        <w:rPr>
          <w:sz w:val="22"/>
          <w:szCs w:val="22"/>
        </w:rPr>
        <w:t xml:space="preserve"> el Alma/Latina Friends Motivating the Soul), a training curriculum to reduce preclinical depression and anxiety among recent Latina immigrants.  We begin with an explanation of the theoretical foundation of the program.  Next, we describe the development of the ALMA program.  We describe our efforts to make the program culturally relevant to a diverse Latina immigrant population, present the framework for the program, and describe our recruitment process.  Finally, we present characteristics of the 20 </w:t>
      </w:r>
      <w:proofErr w:type="spellStart"/>
      <w:r w:rsidRPr="00A074DF">
        <w:rPr>
          <w:sz w:val="22"/>
          <w:szCs w:val="22"/>
        </w:rPr>
        <w:t>promotoras</w:t>
      </w:r>
      <w:proofErr w:type="spellEnd"/>
      <w:r w:rsidRPr="00A074DF">
        <w:rPr>
          <w:sz w:val="22"/>
          <w:szCs w:val="22"/>
        </w:rPr>
        <w:t xml:space="preserve"> participating in the program and their self-identified stressors, stress-reduction strategies, and outreach efforts reported by </w:t>
      </w:r>
      <w:proofErr w:type="spellStart"/>
      <w:r w:rsidRPr="00A074DF">
        <w:rPr>
          <w:sz w:val="22"/>
          <w:szCs w:val="22"/>
        </w:rPr>
        <w:t>promotoras</w:t>
      </w:r>
      <w:proofErr w:type="spellEnd"/>
      <w:r w:rsidRPr="00A074DF">
        <w:rPr>
          <w:sz w:val="22"/>
          <w:szCs w:val="22"/>
        </w:rPr>
        <w:t>.</w:t>
      </w:r>
    </w:p>
    <w:p w14:paraId="7D1DA273" w14:textId="77777777" w:rsidR="000C0D73" w:rsidRDefault="000C0D73" w:rsidP="00A074DF">
      <w:pPr>
        <w:jc w:val="both"/>
        <w:rPr>
          <w:b/>
          <w:sz w:val="22"/>
          <w:szCs w:val="22"/>
        </w:rPr>
      </w:pPr>
    </w:p>
    <w:p w14:paraId="74EE1694" w14:textId="77777777" w:rsidR="00A074DF" w:rsidRPr="00A074DF" w:rsidRDefault="00A074DF" w:rsidP="00A074DF">
      <w:pPr>
        <w:jc w:val="both"/>
        <w:rPr>
          <w:b/>
          <w:sz w:val="22"/>
          <w:szCs w:val="22"/>
        </w:rPr>
      </w:pPr>
      <w:r w:rsidRPr="00A074DF">
        <w:rPr>
          <w:b/>
          <w:sz w:val="22"/>
          <w:szCs w:val="22"/>
        </w:rPr>
        <w:t>Theoretical Model and Previous findings</w:t>
      </w:r>
    </w:p>
    <w:p w14:paraId="6CE50EE5" w14:textId="77777777" w:rsidR="00A074DF" w:rsidRPr="00A074DF" w:rsidRDefault="00A074DF" w:rsidP="000C0D73">
      <w:pPr>
        <w:jc w:val="both"/>
        <w:rPr>
          <w:b/>
          <w:sz w:val="22"/>
          <w:szCs w:val="22"/>
        </w:rPr>
      </w:pPr>
      <w:r w:rsidRPr="00A074DF">
        <w:rPr>
          <w:b/>
          <w:sz w:val="22"/>
          <w:szCs w:val="22"/>
        </w:rPr>
        <w:t>Overlapping Waves of Action</w:t>
      </w:r>
    </w:p>
    <w:p w14:paraId="2A794D05" w14:textId="77777777" w:rsidR="00A074DF" w:rsidRPr="00A074DF" w:rsidRDefault="00A074DF" w:rsidP="000C0D73">
      <w:pPr>
        <w:jc w:val="both"/>
        <w:rPr>
          <w:sz w:val="22"/>
          <w:szCs w:val="22"/>
        </w:rPr>
      </w:pPr>
      <w:r w:rsidRPr="00A074DF">
        <w:rPr>
          <w:sz w:val="22"/>
          <w:szCs w:val="22"/>
        </w:rPr>
        <w:t xml:space="preserve">ALMA is based conceptually on Overlapping Waves of Action (OWA), a dynamic population model of psychological distress coping actions </w:t>
      </w:r>
      <w:r w:rsidRPr="00A074DF">
        <w:rPr>
          <w:noProof/>
          <w:sz w:val="22"/>
          <w:szCs w:val="22"/>
        </w:rPr>
        <w:t>(Jorm et al., 2004)</w:t>
      </w:r>
      <w:r w:rsidRPr="00A074DF">
        <w:rPr>
          <w:sz w:val="22"/>
          <w:szCs w:val="22"/>
        </w:rPr>
        <w:t>.  Delivery of the ALMA intervention is achieved through the lay health advisor (</w:t>
      </w:r>
      <w:proofErr w:type="spellStart"/>
      <w:r w:rsidRPr="00A074DF">
        <w:rPr>
          <w:i/>
          <w:sz w:val="22"/>
          <w:szCs w:val="22"/>
        </w:rPr>
        <w:t>promotora</w:t>
      </w:r>
      <w:proofErr w:type="spellEnd"/>
      <w:r w:rsidRPr="00A074DF">
        <w:rPr>
          <w:sz w:val="22"/>
          <w:szCs w:val="22"/>
        </w:rPr>
        <w:t xml:space="preserve">) model, a peer-based methodology that works with natural community leaders to diffuse information and resources among peers. Combining OWA with the </w:t>
      </w:r>
      <w:proofErr w:type="spellStart"/>
      <w:r w:rsidRPr="00A074DF">
        <w:rPr>
          <w:sz w:val="22"/>
          <w:szCs w:val="22"/>
        </w:rPr>
        <w:t>promotora</w:t>
      </w:r>
      <w:proofErr w:type="spellEnd"/>
      <w:r w:rsidRPr="00A074DF">
        <w:rPr>
          <w:sz w:val="22"/>
          <w:szCs w:val="22"/>
        </w:rPr>
        <w:t xml:space="preserve"> model, the ALMA curriculum is an </w:t>
      </w:r>
      <w:r w:rsidRPr="00A074DF">
        <w:rPr>
          <w:sz w:val="22"/>
          <w:szCs w:val="22"/>
        </w:rPr>
        <w:lastRenderedPageBreak/>
        <w:t xml:space="preserve">individual-level intervention to train </w:t>
      </w:r>
      <w:proofErr w:type="spellStart"/>
      <w:r w:rsidRPr="00A074DF">
        <w:rPr>
          <w:sz w:val="22"/>
          <w:szCs w:val="22"/>
        </w:rPr>
        <w:t>promotoras</w:t>
      </w:r>
      <w:proofErr w:type="spellEnd"/>
      <w:r w:rsidRPr="00A074DF">
        <w:rPr>
          <w:sz w:val="22"/>
          <w:szCs w:val="22"/>
        </w:rPr>
        <w:t xml:space="preserve"> in stress-reduction strategies for their own use and to disseminate within their social networks.  </w:t>
      </w:r>
    </w:p>
    <w:p w14:paraId="0A8C8CF7" w14:textId="77777777" w:rsidR="000C0D73" w:rsidRDefault="000C0D73" w:rsidP="000C0D73">
      <w:pPr>
        <w:jc w:val="both"/>
        <w:rPr>
          <w:sz w:val="22"/>
          <w:szCs w:val="22"/>
        </w:rPr>
      </w:pPr>
    </w:p>
    <w:p w14:paraId="4D089288" w14:textId="77777777" w:rsidR="00A074DF" w:rsidRPr="00A074DF" w:rsidRDefault="00A074DF" w:rsidP="000C0D73">
      <w:pPr>
        <w:jc w:val="both"/>
        <w:rPr>
          <w:sz w:val="22"/>
          <w:szCs w:val="22"/>
        </w:rPr>
      </w:pPr>
      <w:r w:rsidRPr="00A074DF">
        <w:rPr>
          <w:sz w:val="22"/>
          <w:szCs w:val="22"/>
        </w:rPr>
        <w:t xml:space="preserve">Figure 1 illustrates peak use of the three waves of action taken to reduce psychological distress: self-help strategies and complementary therapies readily available and known to the individual (first wave), identification and use of strategies and therapies not already in use (second wave), and professional assistance to relieve symptoms of anxiety and depression (third wave) </w:t>
      </w:r>
      <w:r w:rsidRPr="00A074DF">
        <w:rPr>
          <w:noProof/>
          <w:sz w:val="22"/>
          <w:szCs w:val="22"/>
        </w:rPr>
        <w:t>(Jorm et al., 2006)</w:t>
      </w:r>
      <w:r w:rsidRPr="00A074DF">
        <w:rPr>
          <w:sz w:val="22"/>
          <w:szCs w:val="22"/>
        </w:rPr>
        <w:t xml:space="preserve">. Three waves of action form the constructs of the OWA model proposed by </w:t>
      </w:r>
      <w:proofErr w:type="spellStart"/>
      <w:r w:rsidRPr="00A074DF">
        <w:rPr>
          <w:sz w:val="22"/>
          <w:szCs w:val="22"/>
        </w:rPr>
        <w:t>Jorm</w:t>
      </w:r>
      <w:proofErr w:type="spellEnd"/>
      <w:r w:rsidRPr="00A074DF">
        <w:rPr>
          <w:sz w:val="22"/>
          <w:szCs w:val="22"/>
        </w:rPr>
        <w:t xml:space="preserve"> and Griffiths (2006).  Presumptions of the OWA model suggest a) untreated pre-clinical anxiety and depression leads to an exacerbation of symptoms and their physical and psychological manifestations and b) individuals seeking relief rely on strategies from higher waves when their</w:t>
      </w:r>
      <w:r w:rsidR="000C0D73">
        <w:rPr>
          <w:sz w:val="22"/>
          <w:szCs w:val="22"/>
        </w:rPr>
        <w:t xml:space="preserve"> distress becomes more severe.</w:t>
      </w:r>
    </w:p>
    <w:p w14:paraId="5CEA4B17" w14:textId="77777777" w:rsidR="000C0D73" w:rsidRDefault="000C0D73" w:rsidP="000C0D73">
      <w:pPr>
        <w:jc w:val="both"/>
        <w:rPr>
          <w:sz w:val="22"/>
          <w:szCs w:val="22"/>
        </w:rPr>
      </w:pPr>
    </w:p>
    <w:p w14:paraId="234F8979" w14:textId="77777777" w:rsidR="00A074DF" w:rsidRDefault="00A074DF" w:rsidP="000C0D73">
      <w:pPr>
        <w:jc w:val="both"/>
        <w:rPr>
          <w:sz w:val="22"/>
          <w:szCs w:val="22"/>
        </w:rPr>
      </w:pPr>
      <w:proofErr w:type="spellStart"/>
      <w:r w:rsidRPr="00A074DF">
        <w:rPr>
          <w:sz w:val="22"/>
          <w:szCs w:val="22"/>
        </w:rPr>
        <w:t>Jorm</w:t>
      </w:r>
      <w:proofErr w:type="spellEnd"/>
      <w:r w:rsidRPr="00A074DF">
        <w:rPr>
          <w:sz w:val="22"/>
          <w:szCs w:val="22"/>
        </w:rPr>
        <w:t xml:space="preserve"> and colleagues </w:t>
      </w:r>
      <w:r w:rsidRPr="00A074DF">
        <w:rPr>
          <w:noProof/>
          <w:sz w:val="22"/>
          <w:szCs w:val="22"/>
        </w:rPr>
        <w:t>(Jorm et al., 2004)</w:t>
      </w:r>
      <w:r w:rsidRPr="00A074DF">
        <w:rPr>
          <w:sz w:val="22"/>
          <w:szCs w:val="22"/>
        </w:rPr>
        <w:t xml:space="preserve"> conducted a survey with Australian adults to assess self-reported psychological distress and coping strategies.  Reported strategies included everyday actions (e.g. enjoyable activities, family and friends, and exercise), complementary therapies, non-prescription medication, dietary changes, and professional help.  Their findings support the OWA model, reflecting the adoption of second and third wave coping ac</w:t>
      </w:r>
      <w:r w:rsidR="000C0D73">
        <w:rPr>
          <w:sz w:val="22"/>
          <w:szCs w:val="22"/>
        </w:rPr>
        <w:t>tions as distress intensifies.</w:t>
      </w:r>
    </w:p>
    <w:p w14:paraId="3D59B1D0" w14:textId="77777777" w:rsidR="00604755" w:rsidRDefault="00604755" w:rsidP="000C0D73">
      <w:pPr>
        <w:jc w:val="both"/>
        <w:rPr>
          <w:sz w:val="22"/>
          <w:szCs w:val="22"/>
        </w:rPr>
      </w:pPr>
    </w:p>
    <w:p w14:paraId="35073DA6" w14:textId="77777777" w:rsidR="00604755" w:rsidRPr="00604755" w:rsidRDefault="00604755" w:rsidP="00604755">
      <w:pPr>
        <w:jc w:val="center"/>
        <w:rPr>
          <w:b/>
          <w:sz w:val="22"/>
          <w:szCs w:val="22"/>
        </w:rPr>
      </w:pPr>
      <w:r w:rsidRPr="00604755">
        <w:rPr>
          <w:b/>
          <w:sz w:val="22"/>
          <w:szCs w:val="22"/>
        </w:rPr>
        <w:t>Figure 1</w:t>
      </w:r>
    </w:p>
    <w:p w14:paraId="71D4CEE9" w14:textId="77777777" w:rsidR="000C0D73" w:rsidRDefault="009E163D" w:rsidP="000C0D73">
      <w:pPr>
        <w:jc w:val="both"/>
        <w:rPr>
          <w:b/>
          <w:sz w:val="22"/>
          <w:szCs w:val="22"/>
        </w:rPr>
      </w:pPr>
      <w:r w:rsidRPr="00604755">
        <w:rPr>
          <w:noProof/>
        </w:rPr>
        <w:drawing>
          <wp:anchor distT="0" distB="0" distL="114300" distR="114300" simplePos="0" relativeHeight="251658240" behindDoc="1" locked="0" layoutInCell="1" allowOverlap="1" wp14:anchorId="08285845" wp14:editId="0ECF149A">
            <wp:simplePos x="0" y="0"/>
            <wp:positionH relativeFrom="column">
              <wp:posOffset>298755</wp:posOffset>
            </wp:positionH>
            <wp:positionV relativeFrom="paragraph">
              <wp:posOffset>88265</wp:posOffset>
            </wp:positionV>
            <wp:extent cx="4389120" cy="1695363"/>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389120" cy="169536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C12B709" w14:textId="77777777" w:rsidR="00604755" w:rsidRDefault="00604755" w:rsidP="009E163D">
      <w:pPr>
        <w:jc w:val="center"/>
        <w:rPr>
          <w:b/>
          <w:sz w:val="22"/>
          <w:szCs w:val="22"/>
        </w:rPr>
      </w:pPr>
    </w:p>
    <w:p w14:paraId="45048772" w14:textId="77777777" w:rsidR="00604755" w:rsidRDefault="00604755" w:rsidP="000C0D73">
      <w:pPr>
        <w:jc w:val="both"/>
        <w:rPr>
          <w:b/>
          <w:sz w:val="22"/>
          <w:szCs w:val="22"/>
        </w:rPr>
      </w:pPr>
    </w:p>
    <w:p w14:paraId="59CCFC93" w14:textId="77777777" w:rsidR="00604755" w:rsidRDefault="00604755" w:rsidP="000C0D73">
      <w:pPr>
        <w:jc w:val="both"/>
        <w:rPr>
          <w:b/>
          <w:sz w:val="22"/>
          <w:szCs w:val="22"/>
        </w:rPr>
      </w:pPr>
    </w:p>
    <w:p w14:paraId="28027D47" w14:textId="77777777" w:rsidR="00604755" w:rsidRDefault="00604755" w:rsidP="000C0D73">
      <w:pPr>
        <w:jc w:val="both"/>
        <w:rPr>
          <w:b/>
          <w:sz w:val="22"/>
          <w:szCs w:val="22"/>
        </w:rPr>
      </w:pPr>
    </w:p>
    <w:p w14:paraId="028CD986" w14:textId="77777777" w:rsidR="00604755" w:rsidRDefault="00604755" w:rsidP="000C0D73">
      <w:pPr>
        <w:jc w:val="both"/>
        <w:rPr>
          <w:b/>
          <w:sz w:val="22"/>
          <w:szCs w:val="22"/>
        </w:rPr>
      </w:pPr>
    </w:p>
    <w:p w14:paraId="70819D27" w14:textId="77777777" w:rsidR="00604755" w:rsidRDefault="00604755" w:rsidP="000C0D73">
      <w:pPr>
        <w:jc w:val="both"/>
        <w:rPr>
          <w:b/>
          <w:sz w:val="22"/>
          <w:szCs w:val="22"/>
        </w:rPr>
      </w:pPr>
    </w:p>
    <w:p w14:paraId="3776D935" w14:textId="77777777" w:rsidR="009E163D" w:rsidRDefault="009E163D" w:rsidP="000C0D73">
      <w:pPr>
        <w:jc w:val="both"/>
        <w:rPr>
          <w:b/>
          <w:sz w:val="22"/>
          <w:szCs w:val="22"/>
        </w:rPr>
      </w:pPr>
    </w:p>
    <w:p w14:paraId="6577905B" w14:textId="77777777" w:rsidR="009E163D" w:rsidRDefault="009E163D" w:rsidP="000C0D73">
      <w:pPr>
        <w:jc w:val="both"/>
        <w:rPr>
          <w:b/>
          <w:sz w:val="22"/>
          <w:szCs w:val="22"/>
        </w:rPr>
      </w:pPr>
    </w:p>
    <w:p w14:paraId="36E9E58D" w14:textId="77777777" w:rsidR="009E163D" w:rsidRDefault="009E163D" w:rsidP="000C0D73">
      <w:pPr>
        <w:jc w:val="both"/>
        <w:rPr>
          <w:b/>
          <w:sz w:val="22"/>
          <w:szCs w:val="22"/>
        </w:rPr>
      </w:pPr>
    </w:p>
    <w:p w14:paraId="46181AAE" w14:textId="77777777" w:rsidR="009E163D" w:rsidRDefault="009E163D" w:rsidP="000C0D73">
      <w:pPr>
        <w:jc w:val="both"/>
        <w:rPr>
          <w:b/>
          <w:sz w:val="22"/>
          <w:szCs w:val="22"/>
        </w:rPr>
      </w:pPr>
    </w:p>
    <w:p w14:paraId="25C4517D" w14:textId="77777777" w:rsidR="00A074DF" w:rsidRPr="00A074DF" w:rsidRDefault="00A074DF" w:rsidP="000C0D73">
      <w:pPr>
        <w:jc w:val="both"/>
        <w:rPr>
          <w:b/>
          <w:sz w:val="22"/>
          <w:szCs w:val="22"/>
        </w:rPr>
      </w:pPr>
      <w:r w:rsidRPr="00A074DF">
        <w:rPr>
          <w:b/>
          <w:sz w:val="22"/>
          <w:szCs w:val="22"/>
        </w:rPr>
        <w:t>Help-seeking Behaviors Among Latinos</w:t>
      </w:r>
    </w:p>
    <w:p w14:paraId="7776FECD" w14:textId="77777777" w:rsidR="00A074DF" w:rsidRDefault="00A074DF" w:rsidP="000C0D73">
      <w:pPr>
        <w:jc w:val="both"/>
        <w:rPr>
          <w:sz w:val="22"/>
          <w:szCs w:val="22"/>
        </w:rPr>
      </w:pPr>
      <w:r w:rsidRPr="00A074DF">
        <w:rPr>
          <w:sz w:val="22"/>
          <w:szCs w:val="22"/>
        </w:rPr>
        <w:t xml:space="preserve">Peers can also influence adoption of second and third wave coping behaviors.  Studies examining mental health help-seeking behaviors observe that endorsement by close friends and family </w:t>
      </w:r>
      <w:r w:rsidRPr="00A074DF">
        <w:rPr>
          <w:sz w:val="22"/>
          <w:szCs w:val="22"/>
        </w:rPr>
        <w:lastRenderedPageBreak/>
        <w:t xml:space="preserve">influenced contemplation and exploration of help-seeking strategies including professional help </w:t>
      </w:r>
      <w:r w:rsidRPr="00A074DF">
        <w:rPr>
          <w:noProof/>
          <w:sz w:val="22"/>
          <w:szCs w:val="22"/>
        </w:rPr>
        <w:t>(McMiller et al., 1996; Rüdell et al., 2008)</w:t>
      </w:r>
      <w:r w:rsidRPr="00A074DF">
        <w:rPr>
          <w:sz w:val="22"/>
          <w:szCs w:val="22"/>
        </w:rPr>
        <w:t>.  Specific attention to the mental health help-seeking behaviors of Latino</w:t>
      </w:r>
      <w:r w:rsidR="000C0D73">
        <w:rPr>
          <w:sz w:val="22"/>
          <w:szCs w:val="22"/>
        </w:rPr>
        <w:t xml:space="preserve">s corroborates these findings. </w:t>
      </w:r>
      <w:proofErr w:type="spellStart"/>
      <w:r w:rsidRPr="00A074DF">
        <w:rPr>
          <w:sz w:val="22"/>
          <w:szCs w:val="22"/>
        </w:rPr>
        <w:t>Cabassa</w:t>
      </w:r>
      <w:proofErr w:type="spellEnd"/>
      <w:r w:rsidRPr="00A074DF">
        <w:rPr>
          <w:sz w:val="22"/>
          <w:szCs w:val="22"/>
        </w:rPr>
        <w:t xml:space="preserve"> and </w:t>
      </w:r>
      <w:proofErr w:type="spellStart"/>
      <w:r w:rsidRPr="00A074DF">
        <w:rPr>
          <w:sz w:val="22"/>
          <w:szCs w:val="22"/>
        </w:rPr>
        <w:t>Zaya’s</w:t>
      </w:r>
      <w:proofErr w:type="spellEnd"/>
      <w:r w:rsidRPr="00A074DF">
        <w:rPr>
          <w:sz w:val="22"/>
          <w:szCs w:val="22"/>
        </w:rPr>
        <w:t xml:space="preserve"> research with Latino immigrants examined the cognitive processes influencing depression care-seeking behaviors </w:t>
      </w:r>
      <w:r w:rsidRPr="00A074DF">
        <w:rPr>
          <w:noProof/>
          <w:sz w:val="22"/>
          <w:szCs w:val="22"/>
        </w:rPr>
        <w:t>(Cabassa et al., 2007)</w:t>
      </w:r>
      <w:r w:rsidRPr="00A074DF">
        <w:rPr>
          <w:sz w:val="22"/>
          <w:szCs w:val="22"/>
        </w:rPr>
        <w:t xml:space="preserve">.  They found that Latinos seek a combination of informal (e.g., family, friends, and clergy) and formal (professional) sources for depression care, but first rely upon and prefer informal sources </w:t>
      </w:r>
      <w:r w:rsidRPr="00A074DF">
        <w:rPr>
          <w:noProof/>
          <w:sz w:val="22"/>
          <w:szCs w:val="22"/>
        </w:rPr>
        <w:t>(Cabassa et al., 2007)</w:t>
      </w:r>
      <w:r w:rsidRPr="00A074DF">
        <w:rPr>
          <w:sz w:val="22"/>
          <w:szCs w:val="22"/>
        </w:rPr>
        <w:t>.  Among Latino respondents, intentions to seek professional sources of care were positively associated with endorsement of professional care by family and friends.  If subclinical mental health care-seeking behaviors are similarly influenced by the social acceptability of peers, a peer-based intervention may serve as a feasible means to improve use of and access to coping strategies and resources that alleviate psychological distress.</w:t>
      </w:r>
    </w:p>
    <w:p w14:paraId="2B19E8DF" w14:textId="77777777" w:rsidR="000C0D73" w:rsidRPr="00A074DF" w:rsidRDefault="000C0D73" w:rsidP="000C0D73">
      <w:pPr>
        <w:jc w:val="both"/>
        <w:rPr>
          <w:sz w:val="22"/>
          <w:szCs w:val="22"/>
        </w:rPr>
      </w:pPr>
    </w:p>
    <w:p w14:paraId="1C078A28" w14:textId="77777777" w:rsidR="00A074DF" w:rsidRPr="00A074DF" w:rsidRDefault="00A074DF" w:rsidP="000C0D73">
      <w:pPr>
        <w:jc w:val="both"/>
        <w:rPr>
          <w:b/>
          <w:sz w:val="22"/>
          <w:szCs w:val="22"/>
        </w:rPr>
      </w:pPr>
      <w:r w:rsidRPr="00A074DF">
        <w:rPr>
          <w:b/>
          <w:sz w:val="22"/>
          <w:szCs w:val="22"/>
        </w:rPr>
        <w:t>Peer Support Model</w:t>
      </w:r>
    </w:p>
    <w:p w14:paraId="684BDD85" w14:textId="77777777" w:rsidR="00A074DF" w:rsidRPr="00A074DF" w:rsidRDefault="00A074DF" w:rsidP="000C0D73">
      <w:pPr>
        <w:jc w:val="both"/>
        <w:rPr>
          <w:noProof/>
          <w:sz w:val="22"/>
          <w:szCs w:val="22"/>
        </w:rPr>
      </w:pPr>
      <w:r w:rsidRPr="00A074DF">
        <w:rPr>
          <w:sz w:val="22"/>
          <w:szCs w:val="22"/>
        </w:rPr>
        <w:t xml:space="preserve">The peer support model (also referred to as lay health advisor or </w:t>
      </w:r>
      <w:proofErr w:type="spellStart"/>
      <w:r w:rsidRPr="00A074DF">
        <w:rPr>
          <w:sz w:val="22"/>
          <w:szCs w:val="22"/>
        </w:rPr>
        <w:t>promotor</w:t>
      </w:r>
      <w:proofErr w:type="spellEnd"/>
      <w:r w:rsidRPr="00A074DF">
        <w:rPr>
          <w:sz w:val="22"/>
          <w:szCs w:val="22"/>
        </w:rPr>
        <w:t>/</w:t>
      </w:r>
      <w:proofErr w:type="spellStart"/>
      <w:r w:rsidRPr="00A074DF">
        <w:rPr>
          <w:sz w:val="22"/>
          <w:szCs w:val="22"/>
        </w:rPr>
        <w:t>promotora</w:t>
      </w:r>
      <w:proofErr w:type="spellEnd"/>
      <w:r w:rsidRPr="00A074DF">
        <w:rPr>
          <w:sz w:val="22"/>
          <w:szCs w:val="22"/>
        </w:rPr>
        <w:t xml:space="preserve">) has been demonstrated as a promising effective intervention strategy among racial and ethnic minority groups.  There is substantial variation in the specific role of </w:t>
      </w:r>
      <w:proofErr w:type="spellStart"/>
      <w:r w:rsidRPr="00A074DF">
        <w:rPr>
          <w:sz w:val="22"/>
          <w:szCs w:val="22"/>
        </w:rPr>
        <w:t>promotoras</w:t>
      </w:r>
      <w:proofErr w:type="spellEnd"/>
      <w:r w:rsidRPr="00A074DF">
        <w:rPr>
          <w:sz w:val="22"/>
          <w:szCs w:val="22"/>
        </w:rPr>
        <w:t xml:space="preserve">, their activities, and training (Ayala, 2010; Rhodes, 2007).    Despite these variances, there are similar traits among the </w:t>
      </w:r>
      <w:proofErr w:type="spellStart"/>
      <w:r w:rsidRPr="00A074DF">
        <w:rPr>
          <w:sz w:val="22"/>
          <w:szCs w:val="22"/>
        </w:rPr>
        <w:t>promotoras</w:t>
      </w:r>
      <w:proofErr w:type="spellEnd"/>
      <w:r w:rsidRPr="00A074DF">
        <w:rPr>
          <w:sz w:val="22"/>
          <w:szCs w:val="22"/>
        </w:rPr>
        <w:t xml:space="preserve">.  First, the </w:t>
      </w:r>
      <w:proofErr w:type="spellStart"/>
      <w:r w:rsidRPr="00A074DF">
        <w:rPr>
          <w:sz w:val="22"/>
          <w:szCs w:val="22"/>
        </w:rPr>
        <w:t>promotora</w:t>
      </w:r>
      <w:proofErr w:type="spellEnd"/>
      <w:r w:rsidRPr="00A074DF">
        <w:rPr>
          <w:sz w:val="22"/>
          <w:szCs w:val="22"/>
        </w:rPr>
        <w:t xml:space="preserve"> is already identified in the community as a “natural helper” who lives, works, and socializes within the defined community. </w:t>
      </w:r>
      <w:r w:rsidRPr="00A074DF">
        <w:rPr>
          <w:noProof/>
          <w:sz w:val="22"/>
          <w:szCs w:val="22"/>
        </w:rPr>
        <w:t xml:space="preserve">Secondly, due to their </w:t>
      </w:r>
      <w:r w:rsidRPr="00A074DF">
        <w:rPr>
          <w:sz w:val="22"/>
          <w:szCs w:val="22"/>
        </w:rPr>
        <w:t xml:space="preserve">participation within the community, they possess a complex understanding of their community’s history, its culture, local social norms, and local social networks of inhabitants, neighbors, and friends </w:t>
      </w:r>
      <w:r w:rsidRPr="00A074DF">
        <w:rPr>
          <w:noProof/>
          <w:sz w:val="22"/>
          <w:szCs w:val="22"/>
        </w:rPr>
        <w:t>(Eng et al., 2002; Eng et al., 1997; Rhodes et al., 2007; Rhodes et al. 2006)</w:t>
      </w:r>
      <w:r w:rsidRPr="00A074DF">
        <w:rPr>
          <w:sz w:val="22"/>
          <w:szCs w:val="22"/>
        </w:rPr>
        <w:t xml:space="preserve">.  The </w:t>
      </w:r>
      <w:proofErr w:type="spellStart"/>
      <w:r w:rsidRPr="00A074DF">
        <w:rPr>
          <w:sz w:val="22"/>
          <w:szCs w:val="22"/>
        </w:rPr>
        <w:t>promotora</w:t>
      </w:r>
      <w:proofErr w:type="spellEnd"/>
      <w:r w:rsidRPr="00A074DF">
        <w:rPr>
          <w:sz w:val="22"/>
          <w:szCs w:val="22"/>
        </w:rPr>
        <w:t xml:space="preserve"> training intervenes at the individual level, as she gains knowledge and skills in a health topic, and she disseminates information, supports self-advocacy, and links peers with local resources </w:t>
      </w:r>
      <w:r w:rsidRPr="00A074DF">
        <w:rPr>
          <w:noProof/>
          <w:sz w:val="22"/>
          <w:szCs w:val="22"/>
        </w:rPr>
        <w:t>(Eng, 1991; Kaphingst et al., 2011)</w:t>
      </w:r>
      <w:r w:rsidRPr="00A074DF">
        <w:rPr>
          <w:sz w:val="22"/>
          <w:szCs w:val="22"/>
        </w:rPr>
        <w:t xml:space="preserve">.  Adaptation of the model with Latino and migrant </w:t>
      </w:r>
      <w:r w:rsidRPr="00A074DF">
        <w:rPr>
          <w:sz w:val="22"/>
          <w:szCs w:val="22"/>
        </w:rPr>
        <w:lastRenderedPageBreak/>
        <w:t xml:space="preserve">communities has resulted in  promising interventions to reduce disparities in breast cancer, HIV, diabetes, cardiovascular disease, obesity, and smoking </w:t>
      </w:r>
      <w:r w:rsidRPr="00A074DF">
        <w:rPr>
          <w:noProof/>
          <w:sz w:val="22"/>
          <w:szCs w:val="22"/>
        </w:rPr>
        <w:t>(Ayala et al., 2010; Cabassa et al., 2007; Cherrington et al., 2010; Elder et al., 2009; Martínez-Donate, 2009; Mcquiston et al., 2001;</w:t>
      </w:r>
      <w:r w:rsidRPr="00A074DF" w:rsidDel="007B672D">
        <w:rPr>
          <w:noProof/>
          <w:sz w:val="22"/>
          <w:szCs w:val="22"/>
        </w:rPr>
        <w:t xml:space="preserve"> </w:t>
      </w:r>
      <w:r w:rsidRPr="00A074DF">
        <w:rPr>
          <w:noProof/>
          <w:sz w:val="22"/>
          <w:szCs w:val="22"/>
        </w:rPr>
        <w:t>Rhodes et al., 2006; Saad-Harfouche et al., 2011).</w:t>
      </w:r>
    </w:p>
    <w:p w14:paraId="417E31F9" w14:textId="77777777" w:rsidR="000C0D73" w:rsidRDefault="000C0D73" w:rsidP="000C0D73">
      <w:pPr>
        <w:jc w:val="both"/>
        <w:rPr>
          <w:noProof/>
          <w:sz w:val="22"/>
          <w:szCs w:val="22"/>
        </w:rPr>
      </w:pPr>
    </w:p>
    <w:p w14:paraId="21500490" w14:textId="77777777" w:rsidR="00A074DF" w:rsidRDefault="00A074DF" w:rsidP="000C0D73">
      <w:pPr>
        <w:jc w:val="both"/>
        <w:rPr>
          <w:sz w:val="22"/>
          <w:szCs w:val="22"/>
        </w:rPr>
      </w:pPr>
      <w:r w:rsidRPr="00A074DF">
        <w:rPr>
          <w:noProof/>
          <w:sz w:val="22"/>
          <w:szCs w:val="22"/>
        </w:rPr>
        <w:t xml:space="preserve">We chose to adapt the promotora model to </w:t>
      </w:r>
      <w:r w:rsidRPr="00A074DF">
        <w:rPr>
          <w:sz w:val="22"/>
          <w:szCs w:val="22"/>
        </w:rPr>
        <w:t xml:space="preserve">reduce preclinical depression and anxiety among recent Latina immigrants.  We describe the development of the ALMA curriculum, present a curriculum overview, and impart observations during the pilot implementation. Our expected proximal outcomes included identification of perceived stressors and coping strategies among immigrant Latinas and feasibility of diffusion of mental health information and resources via a </w:t>
      </w:r>
      <w:proofErr w:type="spellStart"/>
      <w:r w:rsidRPr="00A074DF">
        <w:rPr>
          <w:sz w:val="22"/>
          <w:szCs w:val="22"/>
        </w:rPr>
        <w:t>promotora</w:t>
      </w:r>
      <w:proofErr w:type="spellEnd"/>
      <w:r w:rsidRPr="00A074DF">
        <w:rPr>
          <w:sz w:val="22"/>
          <w:szCs w:val="22"/>
        </w:rPr>
        <w:t xml:space="preserve"> model</w:t>
      </w:r>
      <w:r w:rsidR="000C0D73">
        <w:rPr>
          <w:sz w:val="22"/>
          <w:szCs w:val="22"/>
        </w:rPr>
        <w:t>.</w:t>
      </w:r>
    </w:p>
    <w:p w14:paraId="15CBB965" w14:textId="77777777" w:rsidR="000C0D73" w:rsidRPr="00A074DF" w:rsidRDefault="000C0D73" w:rsidP="000C0D73">
      <w:pPr>
        <w:jc w:val="both"/>
        <w:rPr>
          <w:sz w:val="22"/>
          <w:szCs w:val="22"/>
        </w:rPr>
      </w:pPr>
    </w:p>
    <w:p w14:paraId="43940A31" w14:textId="77777777" w:rsidR="00A074DF" w:rsidRDefault="00A074DF" w:rsidP="000C0D73">
      <w:pPr>
        <w:jc w:val="center"/>
        <w:rPr>
          <w:b/>
          <w:sz w:val="22"/>
          <w:szCs w:val="22"/>
        </w:rPr>
      </w:pPr>
      <w:r w:rsidRPr="00A074DF">
        <w:rPr>
          <w:b/>
          <w:sz w:val="22"/>
          <w:szCs w:val="22"/>
        </w:rPr>
        <w:t>Methods</w:t>
      </w:r>
    </w:p>
    <w:p w14:paraId="2157E3FA" w14:textId="77777777" w:rsidR="000C0D73" w:rsidRPr="00A074DF" w:rsidRDefault="000C0D73" w:rsidP="00A074DF">
      <w:pPr>
        <w:ind w:firstLine="720"/>
        <w:jc w:val="both"/>
        <w:rPr>
          <w:b/>
          <w:sz w:val="22"/>
          <w:szCs w:val="22"/>
        </w:rPr>
      </w:pPr>
    </w:p>
    <w:p w14:paraId="43D1B00F" w14:textId="77777777" w:rsidR="00A074DF" w:rsidRPr="00A074DF" w:rsidRDefault="00A074DF" w:rsidP="00A074DF">
      <w:pPr>
        <w:jc w:val="both"/>
        <w:rPr>
          <w:b/>
          <w:sz w:val="22"/>
          <w:szCs w:val="22"/>
        </w:rPr>
      </w:pPr>
      <w:r w:rsidRPr="00A074DF">
        <w:rPr>
          <w:b/>
          <w:sz w:val="22"/>
          <w:szCs w:val="22"/>
        </w:rPr>
        <w:t>Part I: Program Development</w:t>
      </w:r>
    </w:p>
    <w:p w14:paraId="5E5BF8CD" w14:textId="77777777" w:rsidR="00A074DF" w:rsidRPr="00A074DF" w:rsidRDefault="00A074DF" w:rsidP="00A074DF">
      <w:pPr>
        <w:jc w:val="both"/>
        <w:rPr>
          <w:b/>
          <w:sz w:val="22"/>
          <w:szCs w:val="22"/>
        </w:rPr>
      </w:pPr>
      <w:r w:rsidRPr="00A074DF">
        <w:rPr>
          <w:b/>
          <w:sz w:val="22"/>
          <w:szCs w:val="22"/>
        </w:rPr>
        <w:t>Resources</w:t>
      </w:r>
    </w:p>
    <w:p w14:paraId="0964CA03" w14:textId="77777777" w:rsidR="00A074DF" w:rsidRPr="00A074DF" w:rsidRDefault="00A074DF" w:rsidP="000C0D73">
      <w:pPr>
        <w:jc w:val="both"/>
        <w:rPr>
          <w:sz w:val="22"/>
          <w:szCs w:val="22"/>
        </w:rPr>
      </w:pPr>
      <w:r w:rsidRPr="00A074DF">
        <w:rPr>
          <w:sz w:val="22"/>
          <w:szCs w:val="22"/>
        </w:rPr>
        <w:t xml:space="preserve">The ALMA curriculum was developed to target individual behavior change.  Specifically, the purpose of the intervention was to encourage use of healthy coping strategies and increase access to professional resources among </w:t>
      </w:r>
      <w:proofErr w:type="spellStart"/>
      <w:r w:rsidRPr="00A074DF">
        <w:rPr>
          <w:sz w:val="22"/>
          <w:szCs w:val="22"/>
        </w:rPr>
        <w:t>promotoras</w:t>
      </w:r>
      <w:proofErr w:type="spellEnd"/>
      <w:r w:rsidRPr="00A074DF">
        <w:rPr>
          <w:sz w:val="22"/>
          <w:szCs w:val="22"/>
        </w:rPr>
        <w:t xml:space="preserve"> and their social networks.  This initiative formed out of the Duke-UNC Health Disparities Collaboration, an </w:t>
      </w:r>
      <w:proofErr w:type="spellStart"/>
      <w:r w:rsidRPr="00A074DF">
        <w:rPr>
          <w:sz w:val="22"/>
          <w:szCs w:val="22"/>
        </w:rPr>
        <w:t>interinstitutional</w:t>
      </w:r>
      <w:proofErr w:type="spellEnd"/>
      <w:r w:rsidRPr="00A074DF">
        <w:rPr>
          <w:sz w:val="22"/>
          <w:szCs w:val="22"/>
        </w:rPr>
        <w:t xml:space="preserve"> effort to address health disparities and unite research teams from two academic health centers – Duke University and the University of </w:t>
      </w:r>
      <w:r w:rsidR="000C0D73">
        <w:rPr>
          <w:sz w:val="22"/>
          <w:szCs w:val="22"/>
        </w:rPr>
        <w:t>North Carolina at Chapel Hill.</w:t>
      </w:r>
    </w:p>
    <w:p w14:paraId="7AA67A07" w14:textId="77777777" w:rsidR="000C0D73" w:rsidRDefault="000C0D73" w:rsidP="000C0D73">
      <w:pPr>
        <w:jc w:val="both"/>
        <w:rPr>
          <w:sz w:val="22"/>
          <w:szCs w:val="22"/>
        </w:rPr>
      </w:pPr>
    </w:p>
    <w:p w14:paraId="5FA44D6F" w14:textId="77777777" w:rsidR="00A074DF" w:rsidRDefault="00A074DF" w:rsidP="000C0D73">
      <w:pPr>
        <w:jc w:val="both"/>
        <w:rPr>
          <w:sz w:val="22"/>
          <w:szCs w:val="22"/>
        </w:rPr>
      </w:pPr>
      <w:r w:rsidRPr="00A074DF">
        <w:rPr>
          <w:sz w:val="22"/>
          <w:szCs w:val="22"/>
        </w:rPr>
        <w:t>Using an iterative process, we prioritized an intervention to target preventive mental health for Latinas as our goal. We contacted our colleagues engaged in community-based work with Latinos and met with local community partners to assess receptivity of a community-engaged research project on this topic a</w:t>
      </w:r>
      <w:r w:rsidR="000C0D73">
        <w:rPr>
          <w:sz w:val="22"/>
          <w:szCs w:val="22"/>
        </w:rPr>
        <w:t xml:space="preserve">nd interest in collaboration. </w:t>
      </w:r>
      <w:r w:rsidRPr="00A074DF">
        <w:rPr>
          <w:sz w:val="22"/>
          <w:szCs w:val="22"/>
        </w:rPr>
        <w:t>Simultaneously, we found mental health training curricula for Latinos</w:t>
      </w:r>
      <w:r w:rsidR="000C0D73">
        <w:rPr>
          <w:sz w:val="22"/>
          <w:szCs w:val="22"/>
        </w:rPr>
        <w:t xml:space="preserve">. </w:t>
      </w:r>
      <w:r w:rsidRPr="00A074DF">
        <w:rPr>
          <w:sz w:val="22"/>
          <w:szCs w:val="22"/>
        </w:rPr>
        <w:t>Identified resources were derived in locations with established Latino populations but have not been peer reviewed</w:t>
      </w:r>
      <w:r w:rsidRPr="00A074DF" w:rsidDel="00CF0B7A">
        <w:rPr>
          <w:sz w:val="22"/>
          <w:szCs w:val="22"/>
        </w:rPr>
        <w:t xml:space="preserve"> </w:t>
      </w:r>
      <w:r w:rsidRPr="00A074DF">
        <w:rPr>
          <w:noProof/>
          <w:sz w:val="22"/>
          <w:szCs w:val="22"/>
        </w:rPr>
        <w:t>(California-Mexico Health Initiative, 2005)</w:t>
      </w:r>
      <w:r w:rsidRPr="00A074DF">
        <w:rPr>
          <w:sz w:val="22"/>
          <w:szCs w:val="22"/>
        </w:rPr>
        <w:t xml:space="preserve">. We convened </w:t>
      </w:r>
      <w:r w:rsidRPr="00A074DF">
        <w:rPr>
          <w:sz w:val="22"/>
          <w:szCs w:val="22"/>
        </w:rPr>
        <w:lastRenderedPageBreak/>
        <w:t xml:space="preserve">Community and Academic Advisory Committees bi-annually and more frequently in smaller groups to guide the development, implementation, and evaluation of ALMA.  Committee members remained actively involved in a number of ways </w:t>
      </w:r>
      <w:r w:rsidRPr="00A074DF">
        <w:rPr>
          <w:noProof/>
          <w:sz w:val="22"/>
          <w:szCs w:val="22"/>
        </w:rPr>
        <w:t>(Corbie-Smith, et al., 2010)</w:t>
      </w:r>
      <w:r w:rsidR="000C0D73">
        <w:rPr>
          <w:sz w:val="22"/>
          <w:szCs w:val="22"/>
        </w:rPr>
        <w:t xml:space="preserve">. </w:t>
      </w:r>
      <w:r w:rsidRPr="00A074DF">
        <w:rPr>
          <w:sz w:val="22"/>
          <w:szCs w:val="22"/>
        </w:rPr>
        <w:t>The committee created the ALMA acronym which means “soul” or “spirit” in Spanish</w:t>
      </w:r>
      <w:r w:rsidR="000C0D73">
        <w:rPr>
          <w:sz w:val="22"/>
          <w:szCs w:val="22"/>
        </w:rPr>
        <w:t xml:space="preserve">. </w:t>
      </w:r>
      <w:r w:rsidRPr="00A074DF">
        <w:rPr>
          <w:sz w:val="22"/>
          <w:szCs w:val="22"/>
        </w:rPr>
        <w:t xml:space="preserve">We adapted the curriculum format to emphasize active learning styles using visual, kinesthetic, affective, and cognitive styles based on committee </w:t>
      </w:r>
      <w:r w:rsidR="000C0D73">
        <w:rPr>
          <w:sz w:val="22"/>
          <w:szCs w:val="22"/>
        </w:rPr>
        <w:t xml:space="preserve">review and feedback. </w:t>
      </w:r>
      <w:r w:rsidRPr="00A074DF">
        <w:rPr>
          <w:sz w:val="22"/>
          <w:szCs w:val="22"/>
        </w:rPr>
        <w:t>Committee members suggested settings for recruitment, co-facilitated sessions, and provided space for sessions.  They discussed factors they observed that contribute to the isolation, lack of knowledge to local resources, and an unwelcoming social and political environment as stressors for Latinos.  Committee members and the research team agreed to focus on preclinical symptoms, such as depression and anxiety, based upon clinic</w:t>
      </w:r>
      <w:r w:rsidR="000C0D73">
        <w:rPr>
          <w:sz w:val="22"/>
          <w:szCs w:val="22"/>
        </w:rPr>
        <w:t xml:space="preserve">al and community observations. </w:t>
      </w:r>
      <w:r w:rsidRPr="00A074DF">
        <w:rPr>
          <w:sz w:val="22"/>
          <w:szCs w:val="22"/>
        </w:rPr>
        <w:t>Our goal was to develop a preventive mental health curriculum that enhanced self-esteem, social support, and connection to community resources benefitting Latinas and their peers.</w:t>
      </w:r>
    </w:p>
    <w:p w14:paraId="3D3B94EF" w14:textId="77777777" w:rsidR="000C0D73" w:rsidRDefault="000C0D73" w:rsidP="000C0D73">
      <w:pPr>
        <w:jc w:val="both"/>
        <w:rPr>
          <w:sz w:val="22"/>
          <w:szCs w:val="22"/>
        </w:rPr>
      </w:pPr>
    </w:p>
    <w:p w14:paraId="31CD6719" w14:textId="77777777" w:rsidR="00A074DF" w:rsidRPr="00A074DF" w:rsidRDefault="00A074DF" w:rsidP="000C0D73">
      <w:pPr>
        <w:jc w:val="both"/>
        <w:rPr>
          <w:b/>
          <w:sz w:val="22"/>
          <w:szCs w:val="22"/>
        </w:rPr>
      </w:pPr>
      <w:r w:rsidRPr="00A074DF">
        <w:rPr>
          <w:b/>
          <w:sz w:val="22"/>
          <w:szCs w:val="22"/>
        </w:rPr>
        <w:t>Cultural Relevance</w:t>
      </w:r>
    </w:p>
    <w:p w14:paraId="2FF8EE7E" w14:textId="77777777" w:rsidR="00A074DF" w:rsidRPr="00A074DF" w:rsidRDefault="00A074DF" w:rsidP="000C0D73">
      <w:pPr>
        <w:jc w:val="both"/>
        <w:rPr>
          <w:sz w:val="22"/>
          <w:szCs w:val="22"/>
        </w:rPr>
      </w:pPr>
      <w:r w:rsidRPr="00A074DF">
        <w:rPr>
          <w:sz w:val="22"/>
          <w:szCs w:val="22"/>
        </w:rPr>
        <w:t xml:space="preserve">Scholars advocating for clients of color have widely emphasized inclusion of cultural concepts in mental health interventions, development of accessible and targeted interventions, and collaboration with supportive resources within the client’s community </w:t>
      </w:r>
      <w:r w:rsidRPr="00A074DF">
        <w:rPr>
          <w:noProof/>
          <w:sz w:val="22"/>
          <w:szCs w:val="22"/>
        </w:rPr>
        <w:t>(Griner et al., 2006; Sue et al., 2003)</w:t>
      </w:r>
      <w:r w:rsidR="001912B1">
        <w:rPr>
          <w:sz w:val="22"/>
          <w:szCs w:val="22"/>
        </w:rPr>
        <w:t xml:space="preserve">. </w:t>
      </w:r>
      <w:r w:rsidRPr="00A074DF">
        <w:rPr>
          <w:sz w:val="22"/>
          <w:szCs w:val="22"/>
        </w:rPr>
        <w:t>ALMA intervention components that emphasize cultural relevance include delivery of the sessions in a native language, reflection of cultural experiences and norms in activities, and extension of support and community resources to the family un</w:t>
      </w:r>
      <w:r w:rsidR="001912B1">
        <w:rPr>
          <w:sz w:val="22"/>
          <w:szCs w:val="22"/>
        </w:rPr>
        <w:t xml:space="preserve">it. </w:t>
      </w:r>
      <w:r w:rsidRPr="00A074DF">
        <w:rPr>
          <w:sz w:val="22"/>
          <w:szCs w:val="22"/>
        </w:rPr>
        <w:t xml:space="preserve">Participant contact, consent, and session facilitation were </w:t>
      </w:r>
      <w:r w:rsidR="000C0D73">
        <w:rPr>
          <w:sz w:val="22"/>
          <w:szCs w:val="22"/>
        </w:rPr>
        <w:t>conducted in Spanish.</w:t>
      </w:r>
    </w:p>
    <w:p w14:paraId="7BE22B64" w14:textId="77777777" w:rsidR="000C0D73" w:rsidRDefault="000C0D73" w:rsidP="000C0D73">
      <w:pPr>
        <w:jc w:val="both"/>
        <w:rPr>
          <w:sz w:val="22"/>
          <w:szCs w:val="22"/>
        </w:rPr>
      </w:pPr>
    </w:p>
    <w:p w14:paraId="2EA79071" w14:textId="77777777" w:rsidR="00A074DF" w:rsidRPr="001912B1" w:rsidRDefault="00A074DF" w:rsidP="000C0D73">
      <w:pPr>
        <w:jc w:val="both"/>
        <w:rPr>
          <w:sz w:val="22"/>
          <w:szCs w:val="22"/>
        </w:rPr>
      </w:pPr>
      <w:r w:rsidRPr="00A074DF">
        <w:rPr>
          <w:sz w:val="22"/>
          <w:szCs w:val="22"/>
        </w:rPr>
        <w:t>Culturally experiences common among Latinos were identified to convey concepts such as inclusion of pi</w:t>
      </w:r>
      <w:r w:rsidR="000C0D73">
        <w:rPr>
          <w:sz w:val="22"/>
          <w:szCs w:val="22"/>
        </w:rPr>
        <w:t xml:space="preserve">ctures and stories of Latinas. </w:t>
      </w:r>
      <w:r w:rsidRPr="00A074DF">
        <w:rPr>
          <w:sz w:val="22"/>
          <w:szCs w:val="22"/>
        </w:rPr>
        <w:t xml:space="preserve">A prominent example is an activity demonstrating the dimensions of active listening that is ruined by translation and illustrates the importance of </w:t>
      </w:r>
      <w:r w:rsidRPr="00A074DF">
        <w:rPr>
          <w:sz w:val="22"/>
          <w:szCs w:val="22"/>
        </w:rPr>
        <w:lastRenderedPageBreak/>
        <w:t>consideri</w:t>
      </w:r>
      <w:r w:rsidR="000C0D73">
        <w:rPr>
          <w:sz w:val="22"/>
          <w:szCs w:val="22"/>
        </w:rPr>
        <w:t xml:space="preserve">ng linguistic appropriateness. </w:t>
      </w:r>
      <w:r w:rsidRPr="00A074DF">
        <w:rPr>
          <w:sz w:val="22"/>
          <w:szCs w:val="22"/>
        </w:rPr>
        <w:t>The activity uses familiar tongue-twisters as the trigger. For example, the abstracted phrase “</w:t>
      </w:r>
      <w:proofErr w:type="spellStart"/>
      <w:proofErr w:type="gramStart"/>
      <w:r w:rsidRPr="00A074DF">
        <w:rPr>
          <w:sz w:val="22"/>
          <w:szCs w:val="22"/>
        </w:rPr>
        <w:t>como</w:t>
      </w:r>
      <w:proofErr w:type="spellEnd"/>
      <w:proofErr w:type="gramEnd"/>
      <w:r w:rsidRPr="00A074DF">
        <w:rPr>
          <w:sz w:val="22"/>
          <w:szCs w:val="22"/>
        </w:rPr>
        <w:t xml:space="preserve"> </w:t>
      </w:r>
      <w:proofErr w:type="spellStart"/>
      <w:r w:rsidRPr="00A074DF">
        <w:rPr>
          <w:sz w:val="22"/>
          <w:szCs w:val="22"/>
        </w:rPr>
        <w:t>poco</w:t>
      </w:r>
      <w:proofErr w:type="spellEnd"/>
      <w:r w:rsidRPr="00A074DF">
        <w:rPr>
          <w:sz w:val="22"/>
          <w:szCs w:val="22"/>
        </w:rPr>
        <w:t xml:space="preserve"> coco </w:t>
      </w:r>
      <w:proofErr w:type="spellStart"/>
      <w:r w:rsidRPr="00A074DF">
        <w:rPr>
          <w:sz w:val="22"/>
          <w:szCs w:val="22"/>
        </w:rPr>
        <w:t>como</w:t>
      </w:r>
      <w:proofErr w:type="spellEnd"/>
      <w:r w:rsidRPr="00A074DF">
        <w:rPr>
          <w:sz w:val="22"/>
          <w:szCs w:val="22"/>
        </w:rPr>
        <w:t xml:space="preserve">, </w:t>
      </w:r>
      <w:proofErr w:type="spellStart"/>
      <w:r w:rsidRPr="00A074DF">
        <w:rPr>
          <w:sz w:val="22"/>
          <w:szCs w:val="22"/>
        </w:rPr>
        <w:t>poco</w:t>
      </w:r>
      <w:proofErr w:type="spellEnd"/>
      <w:r w:rsidRPr="00A074DF">
        <w:rPr>
          <w:sz w:val="22"/>
          <w:szCs w:val="22"/>
        </w:rPr>
        <w:t xml:space="preserve"> coco </w:t>
      </w:r>
      <w:proofErr w:type="spellStart"/>
      <w:r w:rsidRPr="00A074DF">
        <w:rPr>
          <w:sz w:val="22"/>
          <w:szCs w:val="22"/>
        </w:rPr>
        <w:t>compro</w:t>
      </w:r>
      <w:proofErr w:type="spellEnd"/>
      <w:r w:rsidRPr="00A074DF">
        <w:rPr>
          <w:sz w:val="22"/>
          <w:szCs w:val="22"/>
        </w:rPr>
        <w:t>” loses humor and relevance when represented as, “Since I eat little coconut, little coconut I buy</w:t>
      </w:r>
      <w:r w:rsidR="000C0D73">
        <w:rPr>
          <w:sz w:val="22"/>
          <w:szCs w:val="22"/>
        </w:rPr>
        <w:t xml:space="preserve">.” </w:t>
      </w:r>
      <w:r w:rsidRPr="00A074DF">
        <w:rPr>
          <w:sz w:val="22"/>
          <w:szCs w:val="22"/>
        </w:rPr>
        <w:t xml:space="preserve">Secondly, use of references and games familiar to Latino subcultures are incorporated such as an adaptation of </w:t>
      </w:r>
      <w:proofErr w:type="spellStart"/>
      <w:r w:rsidRPr="00A074DF">
        <w:rPr>
          <w:i/>
          <w:sz w:val="22"/>
          <w:szCs w:val="22"/>
        </w:rPr>
        <w:t>Loteria</w:t>
      </w:r>
      <w:proofErr w:type="spellEnd"/>
      <w:r w:rsidRPr="00A074DF">
        <w:rPr>
          <w:sz w:val="22"/>
          <w:szCs w:val="22"/>
        </w:rPr>
        <w:t xml:space="preserve">, Mexican version of bingo, to reinforce examples of healthy coping options.  A </w:t>
      </w:r>
      <w:proofErr w:type="spellStart"/>
      <w:r w:rsidRPr="00A074DF">
        <w:rPr>
          <w:sz w:val="22"/>
          <w:szCs w:val="22"/>
        </w:rPr>
        <w:t>loteria</w:t>
      </w:r>
      <w:proofErr w:type="spellEnd"/>
      <w:r w:rsidRPr="00A074DF">
        <w:rPr>
          <w:sz w:val="22"/>
          <w:szCs w:val="22"/>
        </w:rPr>
        <w:t xml:space="preserve"> card displays first and </w:t>
      </w:r>
      <w:r w:rsidR="000C0D73">
        <w:rPr>
          <w:sz w:val="22"/>
          <w:szCs w:val="22"/>
        </w:rPr>
        <w:t xml:space="preserve">second wave coping strategies. </w:t>
      </w:r>
      <w:r w:rsidRPr="00A074DF">
        <w:rPr>
          <w:sz w:val="22"/>
          <w:szCs w:val="22"/>
        </w:rPr>
        <w:t>A third example is use of materials t</w:t>
      </w:r>
      <w:r w:rsidR="001912B1">
        <w:rPr>
          <w:sz w:val="22"/>
          <w:szCs w:val="22"/>
        </w:rPr>
        <w:t xml:space="preserve">hat convey common experiences. </w:t>
      </w:r>
      <w:r w:rsidRPr="00A074DF">
        <w:rPr>
          <w:sz w:val="22"/>
          <w:szCs w:val="22"/>
        </w:rPr>
        <w:t xml:space="preserve">In the introductory session, </w:t>
      </w:r>
      <w:proofErr w:type="spellStart"/>
      <w:r w:rsidRPr="00A074DF">
        <w:rPr>
          <w:sz w:val="22"/>
          <w:szCs w:val="22"/>
        </w:rPr>
        <w:t>promotoras</w:t>
      </w:r>
      <w:proofErr w:type="spellEnd"/>
      <w:r w:rsidRPr="00A074DF">
        <w:rPr>
          <w:sz w:val="22"/>
          <w:szCs w:val="22"/>
        </w:rPr>
        <w:t xml:space="preserve"> read and hear a fi</w:t>
      </w:r>
      <w:r w:rsidR="000C0D73">
        <w:rPr>
          <w:sz w:val="22"/>
          <w:szCs w:val="22"/>
        </w:rPr>
        <w:t xml:space="preserve">ctional story about migration. </w:t>
      </w:r>
      <w:r w:rsidRPr="00A074DF">
        <w:rPr>
          <w:sz w:val="22"/>
          <w:szCs w:val="22"/>
        </w:rPr>
        <w:t>Session time is allocat</w:t>
      </w:r>
      <w:r w:rsidR="000C0D73">
        <w:rPr>
          <w:sz w:val="22"/>
          <w:szCs w:val="22"/>
        </w:rPr>
        <w:t xml:space="preserve">ed to share personal examples. </w:t>
      </w:r>
      <w:r w:rsidRPr="00A074DF">
        <w:rPr>
          <w:sz w:val="22"/>
          <w:szCs w:val="22"/>
        </w:rPr>
        <w:t>This sharing process conveys commonalities and variances in the migrati</w:t>
      </w:r>
      <w:r w:rsidR="000C0D73">
        <w:rPr>
          <w:sz w:val="22"/>
          <w:szCs w:val="22"/>
        </w:rPr>
        <w:t>on experience of participants.</w:t>
      </w:r>
      <w:r w:rsidR="001912B1">
        <w:rPr>
          <w:sz w:val="22"/>
          <w:szCs w:val="22"/>
        </w:rPr>
        <w:t xml:space="preserve"> </w:t>
      </w:r>
      <w:r w:rsidRPr="001912B1">
        <w:rPr>
          <w:sz w:val="22"/>
          <w:szCs w:val="22"/>
        </w:rPr>
        <w:t>Finally</w:t>
      </w:r>
      <w:r w:rsidRPr="00A074DF">
        <w:rPr>
          <w:sz w:val="22"/>
          <w:szCs w:val="22"/>
        </w:rPr>
        <w:t xml:space="preserve">, we considered the influence of family hierarchy in decision making.  The concepts of </w:t>
      </w:r>
      <w:proofErr w:type="spellStart"/>
      <w:r w:rsidRPr="00A074DF">
        <w:rPr>
          <w:i/>
          <w:sz w:val="22"/>
          <w:szCs w:val="22"/>
        </w:rPr>
        <w:t>respeto</w:t>
      </w:r>
      <w:proofErr w:type="spellEnd"/>
      <w:r w:rsidRPr="00A074DF">
        <w:rPr>
          <w:sz w:val="22"/>
          <w:szCs w:val="22"/>
        </w:rPr>
        <w:t xml:space="preserve"> (submissive respect for providers and elders), </w:t>
      </w:r>
      <w:proofErr w:type="spellStart"/>
      <w:r w:rsidRPr="00A074DF">
        <w:rPr>
          <w:i/>
          <w:sz w:val="22"/>
          <w:szCs w:val="22"/>
        </w:rPr>
        <w:t>familismo</w:t>
      </w:r>
      <w:proofErr w:type="spellEnd"/>
      <w:r w:rsidRPr="00A074DF">
        <w:rPr>
          <w:sz w:val="22"/>
          <w:szCs w:val="22"/>
        </w:rPr>
        <w:t xml:space="preserve"> (involvement of immediate and extended family in making important decisions), </w:t>
      </w:r>
      <w:proofErr w:type="spellStart"/>
      <w:r w:rsidRPr="00A074DF">
        <w:rPr>
          <w:i/>
          <w:sz w:val="22"/>
          <w:szCs w:val="22"/>
        </w:rPr>
        <w:t>marianismo</w:t>
      </w:r>
      <w:proofErr w:type="spellEnd"/>
      <w:r w:rsidRPr="00A074DF">
        <w:rPr>
          <w:i/>
          <w:sz w:val="22"/>
          <w:szCs w:val="22"/>
        </w:rPr>
        <w:t>/machismo</w:t>
      </w:r>
      <w:r w:rsidRPr="00A074DF">
        <w:rPr>
          <w:sz w:val="22"/>
          <w:szCs w:val="22"/>
        </w:rPr>
        <w:t xml:space="preserve"> (traditional gender roles) influenced the development and delivery of ALMA</w:t>
      </w:r>
      <w:r w:rsidR="000C0D73">
        <w:rPr>
          <w:sz w:val="22"/>
          <w:szCs w:val="22"/>
        </w:rPr>
        <w:t xml:space="preserve">. </w:t>
      </w:r>
      <w:r w:rsidRPr="00A074DF">
        <w:rPr>
          <w:sz w:val="22"/>
          <w:szCs w:val="22"/>
        </w:rPr>
        <w:t xml:space="preserve">For example, a session with the public school system’s Hispanic liaison was intentionally planned during a session open to spouses and partners in deference to these concepts and the household demographics of </w:t>
      </w:r>
      <w:proofErr w:type="spellStart"/>
      <w:r w:rsidRPr="00A074DF">
        <w:rPr>
          <w:sz w:val="22"/>
          <w:szCs w:val="22"/>
        </w:rPr>
        <w:t>promotoras</w:t>
      </w:r>
      <w:proofErr w:type="spellEnd"/>
      <w:r w:rsidRPr="00A074DF">
        <w:rPr>
          <w:sz w:val="22"/>
          <w:szCs w:val="22"/>
        </w:rPr>
        <w:t xml:space="preserve">. The liaison provided information on school resources and guidance on advocating for the child. For some </w:t>
      </w:r>
      <w:proofErr w:type="spellStart"/>
      <w:r w:rsidRPr="00A074DF">
        <w:rPr>
          <w:sz w:val="22"/>
          <w:szCs w:val="22"/>
        </w:rPr>
        <w:t>promotoras</w:t>
      </w:r>
      <w:proofErr w:type="spellEnd"/>
      <w:r w:rsidRPr="00A074DF">
        <w:rPr>
          <w:sz w:val="22"/>
          <w:szCs w:val="22"/>
        </w:rPr>
        <w:t xml:space="preserve"> and their partners this was a new and welcomed resource.  The mainstream expectation that parents advocate for their child’s educational needs differed from their own cultural norms and experiences in which parents completely relinquish educational authority to the school system.</w:t>
      </w:r>
    </w:p>
    <w:p w14:paraId="6D5D154A" w14:textId="77777777" w:rsidR="00A074DF" w:rsidRPr="00A074DF" w:rsidRDefault="00A074DF" w:rsidP="00A074DF">
      <w:pPr>
        <w:jc w:val="both"/>
        <w:rPr>
          <w:b/>
          <w:sz w:val="22"/>
          <w:szCs w:val="22"/>
        </w:rPr>
      </w:pPr>
    </w:p>
    <w:p w14:paraId="2706BAB6" w14:textId="77777777" w:rsidR="00A074DF" w:rsidRPr="00A074DF" w:rsidRDefault="00A074DF" w:rsidP="00A074DF">
      <w:pPr>
        <w:jc w:val="both"/>
        <w:rPr>
          <w:b/>
          <w:sz w:val="22"/>
          <w:szCs w:val="22"/>
        </w:rPr>
      </w:pPr>
      <w:r w:rsidRPr="00A074DF">
        <w:rPr>
          <w:b/>
          <w:sz w:val="22"/>
          <w:szCs w:val="22"/>
        </w:rPr>
        <w:t>ALM A Curriculum</w:t>
      </w:r>
    </w:p>
    <w:p w14:paraId="4835914A" w14:textId="77777777" w:rsidR="001912B1" w:rsidRDefault="00A074DF" w:rsidP="000C0D73">
      <w:pPr>
        <w:jc w:val="both"/>
        <w:rPr>
          <w:sz w:val="22"/>
          <w:szCs w:val="22"/>
        </w:rPr>
        <w:sectPr w:rsidR="001912B1" w:rsidSect="00A074DF">
          <w:type w:val="continuous"/>
          <w:pgSz w:w="12240" w:h="15840"/>
          <w:pgMar w:top="1440" w:right="1440" w:bottom="1440" w:left="1440" w:header="720" w:footer="720" w:gutter="0"/>
          <w:cols w:num="2" w:space="720"/>
          <w:docGrid w:linePitch="360"/>
        </w:sectPr>
      </w:pPr>
      <w:r w:rsidRPr="00A074DF">
        <w:rPr>
          <w:sz w:val="22"/>
          <w:szCs w:val="22"/>
        </w:rPr>
        <w:t>Guided by our review of materials, assistance from our committee, and the described theoretical framework, we developed a 10-session training curriculum encompas</w:t>
      </w:r>
      <w:r w:rsidR="000C0D73">
        <w:rPr>
          <w:sz w:val="22"/>
          <w:szCs w:val="22"/>
        </w:rPr>
        <w:t xml:space="preserve">sing 9 modules and graduation. </w:t>
      </w:r>
      <w:r w:rsidRPr="00A074DF">
        <w:rPr>
          <w:sz w:val="22"/>
          <w:szCs w:val="22"/>
        </w:rPr>
        <w:t xml:space="preserve">Throughout the ALMA curriculum, we implemented activities to enhance awareness of healthy coping strategies with origins across the layers of the OWA </w:t>
      </w:r>
      <w:r w:rsidRPr="00A074DF">
        <w:rPr>
          <w:sz w:val="22"/>
          <w:szCs w:val="22"/>
        </w:rPr>
        <w:lastRenderedPageBreak/>
        <w:t>framework (Table 1) that build upon existing coping strategies of Latinas</w:t>
      </w:r>
      <w:r w:rsidR="000C0D73">
        <w:rPr>
          <w:sz w:val="22"/>
          <w:szCs w:val="22"/>
        </w:rPr>
        <w:t xml:space="preserve">. </w:t>
      </w:r>
      <w:r w:rsidRPr="00A074DF">
        <w:rPr>
          <w:sz w:val="22"/>
          <w:szCs w:val="22"/>
        </w:rPr>
        <w:t>ALMA participants begin the training with a basic introduction and definitions of stress, physiological and psychological symptoms of stress, str</w:t>
      </w:r>
      <w:r w:rsidR="000C0D73">
        <w:rPr>
          <w:sz w:val="22"/>
          <w:szCs w:val="22"/>
        </w:rPr>
        <w:t xml:space="preserve">essors, and coping strategies. </w:t>
      </w:r>
      <w:r w:rsidRPr="00A074DF">
        <w:rPr>
          <w:sz w:val="22"/>
          <w:szCs w:val="22"/>
        </w:rPr>
        <w:t xml:space="preserve">This process begins with each </w:t>
      </w:r>
      <w:proofErr w:type="spellStart"/>
      <w:r w:rsidRPr="00A074DF">
        <w:rPr>
          <w:sz w:val="22"/>
          <w:szCs w:val="22"/>
        </w:rPr>
        <w:t>promotora</w:t>
      </w:r>
      <w:proofErr w:type="spellEnd"/>
      <w:r w:rsidRPr="00A074DF">
        <w:rPr>
          <w:sz w:val="22"/>
          <w:szCs w:val="22"/>
        </w:rPr>
        <w:t xml:space="preserve"> participating in a reflective activity to identify personal stressors and coping strategies (first wave</w:t>
      </w:r>
      <w:r w:rsidR="000C0D73">
        <w:rPr>
          <w:sz w:val="22"/>
          <w:szCs w:val="22"/>
        </w:rPr>
        <w:t xml:space="preserve">). </w:t>
      </w:r>
      <w:r w:rsidRPr="00A074DF">
        <w:rPr>
          <w:sz w:val="22"/>
          <w:szCs w:val="22"/>
        </w:rPr>
        <w:t xml:space="preserve">Throughout ALMA, we build on the </w:t>
      </w:r>
      <w:proofErr w:type="spellStart"/>
      <w:r w:rsidRPr="00A074DF">
        <w:rPr>
          <w:sz w:val="22"/>
          <w:szCs w:val="22"/>
        </w:rPr>
        <w:t>promotoras</w:t>
      </w:r>
      <w:proofErr w:type="spellEnd"/>
      <w:r w:rsidRPr="00A074DF">
        <w:rPr>
          <w:sz w:val="22"/>
          <w:szCs w:val="22"/>
        </w:rPr>
        <w:t xml:space="preserve">’ personal inventory of coping strategies as </w:t>
      </w:r>
      <w:proofErr w:type="spellStart"/>
      <w:r w:rsidRPr="00A074DF">
        <w:rPr>
          <w:sz w:val="22"/>
          <w:szCs w:val="22"/>
        </w:rPr>
        <w:t>promotoras</w:t>
      </w:r>
      <w:proofErr w:type="spellEnd"/>
      <w:r w:rsidRPr="00A074DF">
        <w:rPr>
          <w:sz w:val="22"/>
          <w:szCs w:val="22"/>
        </w:rPr>
        <w:t xml:space="preserve"> learn about other self-help strategies from their peers (second wave) </w:t>
      </w:r>
      <w:r w:rsidRPr="00A074DF">
        <w:rPr>
          <w:sz w:val="22"/>
          <w:szCs w:val="22"/>
        </w:rPr>
        <w:lastRenderedPageBreak/>
        <w:t>during training.</w:t>
      </w:r>
      <w:r w:rsidR="000C0D73">
        <w:rPr>
          <w:sz w:val="22"/>
          <w:szCs w:val="22"/>
        </w:rPr>
        <w:t xml:space="preserve"> </w:t>
      </w:r>
      <w:proofErr w:type="spellStart"/>
      <w:r w:rsidRPr="00A074DF">
        <w:rPr>
          <w:sz w:val="22"/>
          <w:szCs w:val="22"/>
        </w:rPr>
        <w:t>Promotoras</w:t>
      </w:r>
      <w:proofErr w:type="spellEnd"/>
      <w:r w:rsidRPr="00A074DF">
        <w:rPr>
          <w:sz w:val="22"/>
          <w:szCs w:val="22"/>
        </w:rPr>
        <w:t xml:space="preserve"> acknowledged their existing social networks and expanded their network through participation in s</w:t>
      </w:r>
      <w:r w:rsidR="000C0D73">
        <w:rPr>
          <w:sz w:val="22"/>
          <w:szCs w:val="22"/>
        </w:rPr>
        <w:t xml:space="preserve">essions with other </w:t>
      </w:r>
      <w:proofErr w:type="spellStart"/>
      <w:r w:rsidR="000C0D73">
        <w:rPr>
          <w:sz w:val="22"/>
          <w:szCs w:val="22"/>
        </w:rPr>
        <w:t>promotoras</w:t>
      </w:r>
      <w:proofErr w:type="spellEnd"/>
      <w:r w:rsidR="000C0D73">
        <w:rPr>
          <w:sz w:val="22"/>
          <w:szCs w:val="22"/>
        </w:rPr>
        <w:t xml:space="preserve">. </w:t>
      </w:r>
      <w:proofErr w:type="spellStart"/>
      <w:r w:rsidRPr="00A074DF">
        <w:rPr>
          <w:sz w:val="22"/>
          <w:szCs w:val="22"/>
        </w:rPr>
        <w:t>Promotoras</w:t>
      </w:r>
      <w:proofErr w:type="spellEnd"/>
      <w:r w:rsidRPr="00A074DF">
        <w:rPr>
          <w:sz w:val="22"/>
          <w:szCs w:val="22"/>
        </w:rPr>
        <w:t xml:space="preserve"> practiced new coping strategies including deep breathing, exercise, alternate communication strategies when separated from famil</w:t>
      </w:r>
      <w:r w:rsidR="000C0D73">
        <w:rPr>
          <w:sz w:val="22"/>
          <w:szCs w:val="22"/>
        </w:rPr>
        <w:t xml:space="preserve">y, meditation, and journaling. </w:t>
      </w:r>
      <w:r w:rsidRPr="00A074DF">
        <w:rPr>
          <w:sz w:val="22"/>
          <w:szCs w:val="22"/>
        </w:rPr>
        <w:t xml:space="preserve">The third wave of OWA is actualized as </w:t>
      </w:r>
      <w:proofErr w:type="spellStart"/>
      <w:r w:rsidRPr="00A074DF">
        <w:rPr>
          <w:sz w:val="22"/>
          <w:szCs w:val="22"/>
        </w:rPr>
        <w:t>promotoras</w:t>
      </w:r>
      <w:proofErr w:type="spellEnd"/>
      <w:r w:rsidRPr="00A074DF">
        <w:rPr>
          <w:sz w:val="22"/>
          <w:szCs w:val="22"/>
        </w:rPr>
        <w:t xml:space="preserve"> learn about external sources of community assistance through interactions with local health professionals and receive information about other community resources.</w:t>
      </w:r>
    </w:p>
    <w:p w14:paraId="4A138E10" w14:textId="77777777" w:rsidR="00A074DF" w:rsidRDefault="00A074DF" w:rsidP="000C0D73">
      <w:pPr>
        <w:jc w:val="both"/>
        <w:rPr>
          <w:sz w:val="22"/>
          <w:szCs w:val="22"/>
        </w:rPr>
      </w:pPr>
    </w:p>
    <w:p w14:paraId="6B3DCEE8" w14:textId="77777777" w:rsidR="001912B1" w:rsidRDefault="001912B1" w:rsidP="000C0D73">
      <w:pPr>
        <w:jc w:val="both"/>
        <w:rPr>
          <w:sz w:val="22"/>
          <w:szCs w:val="22"/>
        </w:rPr>
        <w:sectPr w:rsidR="001912B1" w:rsidSect="00A074DF">
          <w:type w:val="continuous"/>
          <w:pgSz w:w="12240" w:h="15840"/>
          <w:pgMar w:top="1440" w:right="1440" w:bottom="1440" w:left="1440" w:header="720" w:footer="720" w:gutter="0"/>
          <w:cols w:num="2" w:space="720"/>
          <w:docGrid w:linePitch="360"/>
        </w:sectPr>
      </w:pPr>
    </w:p>
    <w:p w14:paraId="3D3784FB" w14:textId="77777777" w:rsidR="001912B1" w:rsidRDefault="001912B1" w:rsidP="001912B1">
      <w:pPr>
        <w:pStyle w:val="Caption"/>
        <w:keepNext/>
        <w:spacing w:line="240" w:lineRule="auto"/>
        <w:contextualSpacing/>
        <w:jc w:val="center"/>
        <w:rPr>
          <w:rFonts w:ascii="Times New Roman" w:hAnsi="Times New Roman"/>
          <w:sz w:val="22"/>
          <w:szCs w:val="22"/>
        </w:rPr>
      </w:pPr>
      <w:r w:rsidRPr="00B94275">
        <w:rPr>
          <w:rFonts w:ascii="Times New Roman" w:hAnsi="Times New Roman"/>
          <w:sz w:val="22"/>
          <w:szCs w:val="22"/>
        </w:rPr>
        <w:lastRenderedPageBreak/>
        <w:t>Table 1</w:t>
      </w:r>
    </w:p>
    <w:p w14:paraId="15F55DD7" w14:textId="77777777" w:rsidR="001912B1" w:rsidRPr="00B94275" w:rsidRDefault="001912B1" w:rsidP="001912B1"/>
    <w:tbl>
      <w:tblPr>
        <w:tblStyle w:val="TableGrid"/>
        <w:tblW w:w="0" w:type="auto"/>
        <w:tblBorders>
          <w:left w:val="none" w:sz="0" w:space="0" w:color="auto"/>
          <w:right w:val="none" w:sz="0" w:space="0" w:color="auto"/>
          <w:insideH w:val="none" w:sz="0" w:space="0" w:color="auto"/>
        </w:tblBorders>
        <w:tblLook w:val="04A0" w:firstRow="1" w:lastRow="0" w:firstColumn="1" w:lastColumn="0" w:noHBand="0" w:noVBand="1"/>
      </w:tblPr>
      <w:tblGrid>
        <w:gridCol w:w="9576"/>
      </w:tblGrid>
      <w:tr w:rsidR="001912B1" w14:paraId="6A9A35D3" w14:textId="77777777" w:rsidTr="003B2A4F">
        <w:tc>
          <w:tcPr>
            <w:tcW w:w="9576" w:type="dxa"/>
            <w:tcBorders>
              <w:top w:val="single" w:sz="4" w:space="0" w:color="auto"/>
              <w:bottom w:val="single" w:sz="4" w:space="0" w:color="auto"/>
            </w:tcBorders>
          </w:tcPr>
          <w:p w14:paraId="011DAD9E" w14:textId="77777777" w:rsidR="001912B1" w:rsidRPr="001912B1" w:rsidRDefault="001912B1" w:rsidP="003B2A4F">
            <w:pPr>
              <w:pStyle w:val="Caption"/>
              <w:keepNext/>
              <w:contextualSpacing/>
              <w:rPr>
                <w:rFonts w:ascii="Times New Roman" w:hAnsi="Times New Roman"/>
                <w:b w:val="0"/>
                <w:sz w:val="18"/>
                <w:szCs w:val="18"/>
              </w:rPr>
            </w:pPr>
            <w:r w:rsidRPr="001912B1">
              <w:rPr>
                <w:rFonts w:ascii="Times New Roman" w:hAnsi="Times New Roman"/>
                <w:sz w:val="18"/>
                <w:szCs w:val="18"/>
              </w:rPr>
              <w:t>Sessions and Objectives</w:t>
            </w:r>
          </w:p>
        </w:tc>
      </w:tr>
      <w:tr w:rsidR="001912B1" w14:paraId="2ABC6FB3" w14:textId="77777777" w:rsidTr="003B2A4F">
        <w:tc>
          <w:tcPr>
            <w:tcW w:w="9576" w:type="dxa"/>
            <w:tcBorders>
              <w:top w:val="single" w:sz="4" w:space="0" w:color="auto"/>
            </w:tcBorders>
          </w:tcPr>
          <w:p w14:paraId="390FDF08" w14:textId="77777777" w:rsidR="001912B1" w:rsidRPr="001912B1" w:rsidRDefault="001912B1" w:rsidP="003B2A4F">
            <w:pPr>
              <w:contextualSpacing/>
              <w:rPr>
                <w:b/>
                <w:sz w:val="18"/>
                <w:szCs w:val="18"/>
              </w:rPr>
            </w:pPr>
            <w:r w:rsidRPr="001912B1">
              <w:rPr>
                <w:b/>
                <w:sz w:val="18"/>
                <w:szCs w:val="18"/>
              </w:rPr>
              <w:t>Session 1: Welcome and Migration Journey</w:t>
            </w:r>
          </w:p>
          <w:p w14:paraId="30EC131E" w14:textId="77777777" w:rsidR="001912B1" w:rsidRPr="001912B1" w:rsidRDefault="001912B1" w:rsidP="003B2A4F">
            <w:pPr>
              <w:contextualSpacing/>
              <w:rPr>
                <w:sz w:val="18"/>
                <w:szCs w:val="18"/>
              </w:rPr>
            </w:pPr>
            <w:r w:rsidRPr="001912B1">
              <w:rPr>
                <w:sz w:val="18"/>
                <w:szCs w:val="18"/>
              </w:rPr>
              <w:t>To identify coping strategies of self and others (Wave 1, 2)</w:t>
            </w:r>
          </w:p>
          <w:p w14:paraId="6BA63E3D" w14:textId="77777777" w:rsidR="001912B1" w:rsidRPr="001912B1" w:rsidRDefault="001912B1" w:rsidP="001912B1">
            <w:pPr>
              <w:spacing w:line="360" w:lineRule="auto"/>
              <w:contextualSpacing/>
              <w:rPr>
                <w:sz w:val="18"/>
                <w:szCs w:val="18"/>
              </w:rPr>
            </w:pPr>
            <w:r w:rsidRPr="001912B1">
              <w:rPr>
                <w:sz w:val="18"/>
                <w:szCs w:val="18"/>
              </w:rPr>
              <w:t>To learn basic definitions of mental health, stress, and coping</w:t>
            </w:r>
          </w:p>
          <w:p w14:paraId="63AE89EB" w14:textId="77777777" w:rsidR="001912B1" w:rsidRPr="001912B1" w:rsidRDefault="001912B1" w:rsidP="003B2A4F">
            <w:pPr>
              <w:contextualSpacing/>
              <w:rPr>
                <w:b/>
                <w:sz w:val="18"/>
                <w:szCs w:val="18"/>
              </w:rPr>
            </w:pPr>
            <w:r w:rsidRPr="001912B1">
              <w:rPr>
                <w:b/>
                <w:sz w:val="18"/>
                <w:szCs w:val="18"/>
              </w:rPr>
              <w:t>Session 2: Separation from Family, Friends, and Home</w:t>
            </w:r>
          </w:p>
          <w:p w14:paraId="39EDDB9B" w14:textId="77777777" w:rsidR="001912B1" w:rsidRPr="001912B1" w:rsidRDefault="001912B1" w:rsidP="003B2A4F">
            <w:pPr>
              <w:contextualSpacing/>
              <w:rPr>
                <w:sz w:val="18"/>
                <w:szCs w:val="18"/>
              </w:rPr>
            </w:pPr>
            <w:r w:rsidRPr="001912B1">
              <w:rPr>
                <w:sz w:val="18"/>
                <w:szCs w:val="18"/>
              </w:rPr>
              <w:t>To create a safe and comfortable learning environment</w:t>
            </w:r>
          </w:p>
          <w:p w14:paraId="750E9DFA" w14:textId="77777777" w:rsidR="001912B1" w:rsidRPr="001912B1" w:rsidRDefault="001912B1" w:rsidP="003B2A4F">
            <w:pPr>
              <w:contextualSpacing/>
              <w:rPr>
                <w:sz w:val="18"/>
                <w:szCs w:val="18"/>
              </w:rPr>
            </w:pPr>
            <w:r w:rsidRPr="001912B1">
              <w:rPr>
                <w:sz w:val="18"/>
                <w:szCs w:val="18"/>
              </w:rPr>
              <w:t xml:space="preserve">To define each </w:t>
            </w:r>
            <w:proofErr w:type="spellStart"/>
            <w:r w:rsidRPr="001912B1">
              <w:rPr>
                <w:sz w:val="18"/>
                <w:szCs w:val="18"/>
              </w:rPr>
              <w:t>promotoras</w:t>
            </w:r>
            <w:proofErr w:type="spellEnd"/>
            <w:r w:rsidRPr="001912B1">
              <w:rPr>
                <w:sz w:val="18"/>
                <w:szCs w:val="18"/>
              </w:rPr>
              <w:t xml:space="preserve"> social network (Wave 1, 2)</w:t>
            </w:r>
          </w:p>
          <w:p w14:paraId="4CCF6366" w14:textId="77777777" w:rsidR="001912B1" w:rsidRPr="001912B1" w:rsidRDefault="001912B1" w:rsidP="001912B1">
            <w:pPr>
              <w:spacing w:line="360" w:lineRule="auto"/>
              <w:contextualSpacing/>
              <w:rPr>
                <w:sz w:val="18"/>
                <w:szCs w:val="18"/>
              </w:rPr>
            </w:pPr>
            <w:r w:rsidRPr="001912B1">
              <w:rPr>
                <w:sz w:val="18"/>
                <w:szCs w:val="18"/>
              </w:rPr>
              <w:t>To identify alternate strategies to reconnect with separated members of social network (Wave 2)</w:t>
            </w:r>
          </w:p>
          <w:p w14:paraId="4B252954" w14:textId="77777777" w:rsidR="001912B1" w:rsidRPr="001912B1" w:rsidRDefault="001912B1" w:rsidP="003B2A4F">
            <w:pPr>
              <w:contextualSpacing/>
              <w:rPr>
                <w:b/>
                <w:sz w:val="18"/>
                <w:szCs w:val="18"/>
              </w:rPr>
            </w:pPr>
            <w:r w:rsidRPr="001912B1">
              <w:rPr>
                <w:b/>
                <w:sz w:val="18"/>
                <w:szCs w:val="18"/>
              </w:rPr>
              <w:t>Session 3: Life in NC and You: Adjusting to a New Place</w:t>
            </w:r>
          </w:p>
          <w:p w14:paraId="6BAF5D38" w14:textId="77777777" w:rsidR="001912B1" w:rsidRPr="001912B1" w:rsidRDefault="001912B1" w:rsidP="001912B1">
            <w:pPr>
              <w:spacing w:line="360" w:lineRule="auto"/>
              <w:contextualSpacing/>
              <w:rPr>
                <w:sz w:val="18"/>
                <w:szCs w:val="18"/>
              </w:rPr>
            </w:pPr>
            <w:r w:rsidRPr="001912B1">
              <w:rPr>
                <w:sz w:val="18"/>
                <w:szCs w:val="18"/>
              </w:rPr>
              <w:t>To introduce and practice new coping strategies such as deep breathing and meditation (Wave 2)</w:t>
            </w:r>
          </w:p>
          <w:p w14:paraId="41982827" w14:textId="77777777" w:rsidR="001912B1" w:rsidRPr="001912B1" w:rsidRDefault="001912B1" w:rsidP="003B2A4F">
            <w:pPr>
              <w:contextualSpacing/>
              <w:rPr>
                <w:b/>
                <w:sz w:val="18"/>
                <w:szCs w:val="18"/>
              </w:rPr>
            </w:pPr>
            <w:r w:rsidRPr="001912B1">
              <w:rPr>
                <w:b/>
                <w:sz w:val="18"/>
                <w:szCs w:val="18"/>
              </w:rPr>
              <w:t xml:space="preserve">Session 4: Community Resources Scavenger Hunt: </w:t>
            </w:r>
            <w:proofErr w:type="spellStart"/>
            <w:r w:rsidRPr="001912B1">
              <w:rPr>
                <w:b/>
                <w:sz w:val="18"/>
                <w:szCs w:val="18"/>
              </w:rPr>
              <w:t>Vamonos</w:t>
            </w:r>
            <w:proofErr w:type="spellEnd"/>
          </w:p>
          <w:p w14:paraId="05492EEC" w14:textId="77777777" w:rsidR="001912B1" w:rsidRPr="001912B1" w:rsidRDefault="001912B1" w:rsidP="001912B1">
            <w:pPr>
              <w:spacing w:line="360" w:lineRule="auto"/>
              <w:contextualSpacing/>
              <w:rPr>
                <w:sz w:val="18"/>
                <w:szCs w:val="18"/>
              </w:rPr>
            </w:pPr>
            <w:r w:rsidRPr="001912B1">
              <w:rPr>
                <w:sz w:val="18"/>
                <w:szCs w:val="18"/>
              </w:rPr>
              <w:t>To identify community resources (Wave 2, 3)</w:t>
            </w:r>
          </w:p>
          <w:p w14:paraId="6399C389" w14:textId="77777777" w:rsidR="001912B1" w:rsidRPr="001912B1" w:rsidRDefault="001912B1" w:rsidP="003B2A4F">
            <w:pPr>
              <w:contextualSpacing/>
              <w:rPr>
                <w:b/>
                <w:sz w:val="18"/>
                <w:szCs w:val="18"/>
              </w:rPr>
            </w:pPr>
            <w:r w:rsidRPr="001912B1">
              <w:rPr>
                <w:b/>
                <w:sz w:val="18"/>
                <w:szCs w:val="18"/>
              </w:rPr>
              <w:t xml:space="preserve">Session 5: Helping Others as a </w:t>
            </w:r>
            <w:proofErr w:type="spellStart"/>
            <w:r w:rsidRPr="001912B1">
              <w:rPr>
                <w:b/>
                <w:sz w:val="18"/>
                <w:szCs w:val="18"/>
              </w:rPr>
              <w:t>Promotora</w:t>
            </w:r>
            <w:proofErr w:type="spellEnd"/>
          </w:p>
          <w:p w14:paraId="1CEF5AA1" w14:textId="77777777" w:rsidR="001912B1" w:rsidRPr="001912B1" w:rsidRDefault="001912B1" w:rsidP="003B2A4F">
            <w:pPr>
              <w:contextualSpacing/>
              <w:rPr>
                <w:sz w:val="18"/>
                <w:szCs w:val="18"/>
              </w:rPr>
            </w:pPr>
            <w:r w:rsidRPr="001912B1">
              <w:rPr>
                <w:sz w:val="18"/>
                <w:szCs w:val="18"/>
              </w:rPr>
              <w:t>To learn components of effective listening</w:t>
            </w:r>
          </w:p>
          <w:p w14:paraId="25748FA2" w14:textId="77777777" w:rsidR="001912B1" w:rsidRPr="001912B1" w:rsidRDefault="001912B1" w:rsidP="001912B1">
            <w:pPr>
              <w:spacing w:line="360" w:lineRule="auto"/>
              <w:contextualSpacing/>
              <w:rPr>
                <w:sz w:val="18"/>
                <w:szCs w:val="18"/>
              </w:rPr>
            </w:pPr>
            <w:r w:rsidRPr="001912B1">
              <w:rPr>
                <w:sz w:val="18"/>
                <w:szCs w:val="18"/>
              </w:rPr>
              <w:t xml:space="preserve">To learn boundaries of a </w:t>
            </w:r>
            <w:proofErr w:type="spellStart"/>
            <w:r w:rsidRPr="001912B1">
              <w:rPr>
                <w:sz w:val="18"/>
                <w:szCs w:val="18"/>
              </w:rPr>
              <w:t>promotora</w:t>
            </w:r>
            <w:proofErr w:type="spellEnd"/>
            <w:r w:rsidRPr="001912B1">
              <w:rPr>
                <w:sz w:val="18"/>
                <w:szCs w:val="18"/>
              </w:rPr>
              <w:t xml:space="preserve"> using the Ask, Advise, Assist method (Wave 2)</w:t>
            </w:r>
          </w:p>
          <w:p w14:paraId="03B6F5B9" w14:textId="77777777" w:rsidR="001912B1" w:rsidRPr="001912B1" w:rsidRDefault="001912B1" w:rsidP="003B2A4F">
            <w:pPr>
              <w:contextualSpacing/>
              <w:rPr>
                <w:b/>
                <w:sz w:val="18"/>
                <w:szCs w:val="18"/>
              </w:rPr>
            </w:pPr>
            <w:r w:rsidRPr="001912B1">
              <w:rPr>
                <w:b/>
                <w:sz w:val="18"/>
                <w:szCs w:val="18"/>
              </w:rPr>
              <w:t xml:space="preserve">Session 6: Mental Health </w:t>
            </w:r>
          </w:p>
          <w:p w14:paraId="1CFD72B5" w14:textId="77777777" w:rsidR="001912B1" w:rsidRPr="001912B1" w:rsidRDefault="001912B1" w:rsidP="001912B1">
            <w:pPr>
              <w:spacing w:line="360" w:lineRule="auto"/>
              <w:contextualSpacing/>
              <w:rPr>
                <w:sz w:val="18"/>
                <w:szCs w:val="18"/>
              </w:rPr>
            </w:pPr>
            <w:r w:rsidRPr="001912B1">
              <w:rPr>
                <w:sz w:val="18"/>
                <w:szCs w:val="18"/>
              </w:rPr>
              <w:t>To talk about seeking professional help by interviewing different types of mental health professionals (Wave 3)</w:t>
            </w:r>
          </w:p>
          <w:p w14:paraId="42263B95" w14:textId="77777777" w:rsidR="001912B1" w:rsidRPr="001912B1" w:rsidRDefault="001912B1" w:rsidP="003B2A4F">
            <w:pPr>
              <w:contextualSpacing/>
              <w:rPr>
                <w:b/>
                <w:sz w:val="18"/>
                <w:szCs w:val="18"/>
              </w:rPr>
            </w:pPr>
            <w:r w:rsidRPr="001912B1">
              <w:rPr>
                <w:b/>
                <w:sz w:val="18"/>
                <w:szCs w:val="18"/>
              </w:rPr>
              <w:t>Session 7: Life in NC and your Family: Difficulties Adjusting to a New Place</w:t>
            </w:r>
          </w:p>
          <w:p w14:paraId="4FC894F3" w14:textId="77777777" w:rsidR="001912B1" w:rsidRPr="001912B1" w:rsidRDefault="001912B1" w:rsidP="003B2A4F">
            <w:pPr>
              <w:contextualSpacing/>
              <w:rPr>
                <w:sz w:val="18"/>
                <w:szCs w:val="18"/>
              </w:rPr>
            </w:pPr>
            <w:r w:rsidRPr="001912B1">
              <w:rPr>
                <w:sz w:val="18"/>
                <w:szCs w:val="18"/>
              </w:rPr>
              <w:t xml:space="preserve">To learn about resources that may help family integration in the school systems (Wave 2) </w:t>
            </w:r>
          </w:p>
          <w:p w14:paraId="5D07159A" w14:textId="77777777" w:rsidR="001912B1" w:rsidRPr="001912B1" w:rsidRDefault="001912B1" w:rsidP="001912B1">
            <w:pPr>
              <w:spacing w:line="360" w:lineRule="auto"/>
              <w:contextualSpacing/>
              <w:rPr>
                <w:sz w:val="18"/>
                <w:szCs w:val="18"/>
              </w:rPr>
            </w:pPr>
            <w:r w:rsidRPr="001912B1">
              <w:rPr>
                <w:sz w:val="18"/>
                <w:szCs w:val="18"/>
              </w:rPr>
              <w:t xml:space="preserve">To build social network among </w:t>
            </w:r>
            <w:proofErr w:type="spellStart"/>
            <w:r w:rsidRPr="001912B1">
              <w:rPr>
                <w:sz w:val="18"/>
                <w:szCs w:val="18"/>
              </w:rPr>
              <w:t>promotora’s</w:t>
            </w:r>
            <w:proofErr w:type="spellEnd"/>
            <w:r w:rsidRPr="001912B1">
              <w:rPr>
                <w:sz w:val="18"/>
                <w:szCs w:val="18"/>
              </w:rPr>
              <w:t xml:space="preserve"> partners </w:t>
            </w:r>
          </w:p>
          <w:p w14:paraId="73D4A14A" w14:textId="77777777" w:rsidR="001912B1" w:rsidRPr="001912B1" w:rsidRDefault="001912B1" w:rsidP="003B2A4F">
            <w:pPr>
              <w:contextualSpacing/>
              <w:rPr>
                <w:b/>
                <w:sz w:val="18"/>
                <w:szCs w:val="18"/>
              </w:rPr>
            </w:pPr>
            <w:r w:rsidRPr="001912B1">
              <w:rPr>
                <w:b/>
                <w:sz w:val="18"/>
                <w:szCs w:val="18"/>
              </w:rPr>
              <w:t>Session 8: Exercise as a Coping Strategy</w:t>
            </w:r>
          </w:p>
          <w:p w14:paraId="3F3C86C0" w14:textId="77777777" w:rsidR="001912B1" w:rsidRPr="001912B1" w:rsidRDefault="001912B1" w:rsidP="001912B1">
            <w:pPr>
              <w:spacing w:line="360" w:lineRule="auto"/>
              <w:contextualSpacing/>
              <w:rPr>
                <w:sz w:val="18"/>
                <w:szCs w:val="18"/>
              </w:rPr>
            </w:pPr>
            <w:r w:rsidRPr="001912B1">
              <w:rPr>
                <w:sz w:val="18"/>
                <w:szCs w:val="18"/>
              </w:rPr>
              <w:t>To introduce and practice new coping strategies such as yoga (Wave 2)</w:t>
            </w:r>
          </w:p>
          <w:p w14:paraId="100A38C3" w14:textId="77777777" w:rsidR="001912B1" w:rsidRPr="001912B1" w:rsidRDefault="001912B1" w:rsidP="003B2A4F">
            <w:pPr>
              <w:contextualSpacing/>
              <w:rPr>
                <w:b/>
                <w:sz w:val="18"/>
                <w:szCs w:val="18"/>
              </w:rPr>
            </w:pPr>
            <w:r w:rsidRPr="001912B1">
              <w:rPr>
                <w:b/>
                <w:sz w:val="18"/>
                <w:szCs w:val="18"/>
              </w:rPr>
              <w:t xml:space="preserve">Session 9: </w:t>
            </w:r>
            <w:proofErr w:type="spellStart"/>
            <w:r w:rsidRPr="001912B1">
              <w:rPr>
                <w:b/>
                <w:sz w:val="18"/>
                <w:szCs w:val="18"/>
              </w:rPr>
              <w:t>Promotoras</w:t>
            </w:r>
            <w:proofErr w:type="spellEnd"/>
            <w:r w:rsidRPr="001912B1">
              <w:rPr>
                <w:b/>
                <w:sz w:val="18"/>
                <w:szCs w:val="18"/>
              </w:rPr>
              <w:t xml:space="preserve"> and </w:t>
            </w:r>
            <w:proofErr w:type="spellStart"/>
            <w:r w:rsidRPr="001912B1">
              <w:rPr>
                <w:b/>
                <w:sz w:val="18"/>
                <w:szCs w:val="18"/>
              </w:rPr>
              <w:t>Compañeras</w:t>
            </w:r>
            <w:proofErr w:type="spellEnd"/>
          </w:p>
          <w:p w14:paraId="73304F7A" w14:textId="77777777" w:rsidR="001912B1" w:rsidRPr="001912B1" w:rsidRDefault="001912B1" w:rsidP="003B2A4F">
            <w:pPr>
              <w:contextualSpacing/>
              <w:rPr>
                <w:sz w:val="18"/>
                <w:szCs w:val="18"/>
              </w:rPr>
            </w:pPr>
            <w:r w:rsidRPr="001912B1">
              <w:rPr>
                <w:sz w:val="18"/>
                <w:szCs w:val="18"/>
              </w:rPr>
              <w:t xml:space="preserve">To demonstrate to </w:t>
            </w:r>
            <w:proofErr w:type="spellStart"/>
            <w:r w:rsidRPr="001912B1">
              <w:rPr>
                <w:sz w:val="18"/>
                <w:szCs w:val="18"/>
              </w:rPr>
              <w:t>compañeras</w:t>
            </w:r>
            <w:proofErr w:type="spellEnd"/>
            <w:r w:rsidRPr="001912B1">
              <w:rPr>
                <w:sz w:val="18"/>
                <w:szCs w:val="18"/>
              </w:rPr>
              <w:t xml:space="preserve"> lessons learned through ALMA (Wave 2)</w:t>
            </w:r>
          </w:p>
          <w:p w14:paraId="1F65F5D5" w14:textId="77777777" w:rsidR="001912B1" w:rsidRPr="001912B1" w:rsidRDefault="001912B1" w:rsidP="001912B1">
            <w:pPr>
              <w:spacing w:line="360" w:lineRule="auto"/>
              <w:contextualSpacing/>
              <w:rPr>
                <w:sz w:val="18"/>
                <w:szCs w:val="18"/>
              </w:rPr>
            </w:pPr>
            <w:r w:rsidRPr="001912B1">
              <w:rPr>
                <w:sz w:val="18"/>
                <w:szCs w:val="18"/>
              </w:rPr>
              <w:t>To talk with health professionals about the challenges of acculturation (Wave 3)</w:t>
            </w:r>
          </w:p>
          <w:p w14:paraId="25949F42" w14:textId="77777777" w:rsidR="001912B1" w:rsidRPr="001912B1" w:rsidRDefault="001912B1" w:rsidP="003B2A4F">
            <w:pPr>
              <w:contextualSpacing/>
              <w:rPr>
                <w:b/>
                <w:sz w:val="18"/>
                <w:szCs w:val="18"/>
              </w:rPr>
            </w:pPr>
            <w:r w:rsidRPr="001912B1">
              <w:rPr>
                <w:b/>
                <w:sz w:val="18"/>
                <w:szCs w:val="18"/>
              </w:rPr>
              <w:t>Session 10: Graduation with Family Members</w:t>
            </w:r>
          </w:p>
          <w:p w14:paraId="51AE6744" w14:textId="77777777" w:rsidR="001912B1" w:rsidRPr="001912B1" w:rsidRDefault="001912B1" w:rsidP="003B2A4F">
            <w:pPr>
              <w:rPr>
                <w:sz w:val="18"/>
                <w:szCs w:val="18"/>
              </w:rPr>
            </w:pPr>
            <w:r w:rsidRPr="001912B1">
              <w:rPr>
                <w:sz w:val="18"/>
                <w:szCs w:val="18"/>
              </w:rPr>
              <w:t xml:space="preserve">To invite family members to celebrate with </w:t>
            </w:r>
            <w:proofErr w:type="spellStart"/>
            <w:r w:rsidRPr="001912B1">
              <w:rPr>
                <w:sz w:val="18"/>
                <w:szCs w:val="18"/>
              </w:rPr>
              <w:t>promotoras</w:t>
            </w:r>
            <w:proofErr w:type="spellEnd"/>
            <w:r w:rsidRPr="001912B1">
              <w:rPr>
                <w:sz w:val="18"/>
                <w:szCs w:val="18"/>
              </w:rPr>
              <w:t xml:space="preserve"> (Wave 1)</w:t>
            </w:r>
          </w:p>
        </w:tc>
      </w:tr>
    </w:tbl>
    <w:p w14:paraId="1A15F142" w14:textId="77777777" w:rsidR="001912B1" w:rsidRPr="00B94275" w:rsidRDefault="001912B1" w:rsidP="001912B1"/>
    <w:p w14:paraId="56D5328A" w14:textId="77777777" w:rsidR="001912B1" w:rsidRDefault="001912B1" w:rsidP="000C0D73">
      <w:pPr>
        <w:jc w:val="both"/>
        <w:rPr>
          <w:sz w:val="22"/>
          <w:szCs w:val="22"/>
        </w:rPr>
        <w:sectPr w:rsidR="001912B1" w:rsidSect="001912B1">
          <w:type w:val="continuous"/>
          <w:pgSz w:w="12240" w:h="15840"/>
          <w:pgMar w:top="1440" w:right="1440" w:bottom="1440" w:left="1440" w:header="720" w:footer="720" w:gutter="0"/>
          <w:cols w:space="720"/>
          <w:docGrid w:linePitch="360"/>
        </w:sectPr>
      </w:pPr>
    </w:p>
    <w:p w14:paraId="4C00AF80" w14:textId="77777777" w:rsidR="001912B1" w:rsidRDefault="001912B1" w:rsidP="000C0D73">
      <w:pPr>
        <w:jc w:val="both"/>
        <w:rPr>
          <w:sz w:val="22"/>
          <w:szCs w:val="22"/>
        </w:rPr>
      </w:pPr>
    </w:p>
    <w:p w14:paraId="51599365" w14:textId="77777777" w:rsidR="001912B1" w:rsidRDefault="001912B1" w:rsidP="000C0D73">
      <w:pPr>
        <w:jc w:val="both"/>
        <w:rPr>
          <w:sz w:val="22"/>
          <w:szCs w:val="22"/>
        </w:rPr>
        <w:sectPr w:rsidR="001912B1" w:rsidSect="00A074DF">
          <w:type w:val="continuous"/>
          <w:pgSz w:w="12240" w:h="15840"/>
          <w:pgMar w:top="1440" w:right="1440" w:bottom="1440" w:left="1440" w:header="720" w:footer="720" w:gutter="0"/>
          <w:cols w:num="2" w:space="720"/>
          <w:docGrid w:linePitch="360"/>
        </w:sectPr>
      </w:pPr>
    </w:p>
    <w:p w14:paraId="747877FC" w14:textId="77777777" w:rsidR="009E163D" w:rsidRDefault="00A074DF" w:rsidP="000C0D73">
      <w:pPr>
        <w:jc w:val="both"/>
        <w:rPr>
          <w:sz w:val="22"/>
          <w:szCs w:val="22"/>
        </w:rPr>
      </w:pPr>
      <w:r w:rsidRPr="00A074DF">
        <w:rPr>
          <w:sz w:val="22"/>
          <w:szCs w:val="22"/>
        </w:rPr>
        <w:lastRenderedPageBreak/>
        <w:t xml:space="preserve">Using principles of adult learning theory </w:t>
      </w:r>
      <w:r w:rsidRPr="00A074DF">
        <w:rPr>
          <w:noProof/>
          <w:sz w:val="22"/>
          <w:szCs w:val="22"/>
        </w:rPr>
        <w:t>(Lewis et al., 1994)</w:t>
      </w:r>
      <w:r w:rsidRPr="00A074DF">
        <w:rPr>
          <w:sz w:val="22"/>
          <w:szCs w:val="22"/>
        </w:rPr>
        <w:t>, the session format was interactive experiential, and built upon the uniqu</w:t>
      </w:r>
      <w:r w:rsidR="000C0D73">
        <w:rPr>
          <w:sz w:val="22"/>
          <w:szCs w:val="22"/>
        </w:rPr>
        <w:t xml:space="preserve">e experiences of participants. </w:t>
      </w:r>
      <w:r w:rsidRPr="00A074DF">
        <w:rPr>
          <w:sz w:val="22"/>
          <w:szCs w:val="22"/>
        </w:rPr>
        <w:t xml:space="preserve">ALMA sessions began this process with a </w:t>
      </w:r>
      <w:proofErr w:type="spellStart"/>
      <w:r w:rsidRPr="00A074DF">
        <w:rPr>
          <w:i/>
          <w:sz w:val="22"/>
          <w:szCs w:val="22"/>
        </w:rPr>
        <w:t>vivencia</w:t>
      </w:r>
      <w:proofErr w:type="spellEnd"/>
      <w:r w:rsidRPr="00A074DF">
        <w:rPr>
          <w:sz w:val="22"/>
          <w:szCs w:val="22"/>
        </w:rPr>
        <w:t xml:space="preserve">, a story or short-video. </w:t>
      </w:r>
      <w:proofErr w:type="spellStart"/>
      <w:r w:rsidRPr="00A074DF">
        <w:rPr>
          <w:sz w:val="22"/>
          <w:szCs w:val="22"/>
        </w:rPr>
        <w:t>Promotoras</w:t>
      </w:r>
      <w:proofErr w:type="spellEnd"/>
      <w:r w:rsidRPr="00A074DF">
        <w:rPr>
          <w:sz w:val="22"/>
          <w:szCs w:val="22"/>
        </w:rPr>
        <w:t xml:space="preserve"> reflected on the </w:t>
      </w:r>
      <w:proofErr w:type="spellStart"/>
      <w:r w:rsidRPr="00A074DF">
        <w:rPr>
          <w:sz w:val="22"/>
          <w:szCs w:val="22"/>
        </w:rPr>
        <w:lastRenderedPageBreak/>
        <w:t>vivencia</w:t>
      </w:r>
      <w:proofErr w:type="spellEnd"/>
      <w:r w:rsidRPr="00A074DF">
        <w:rPr>
          <w:sz w:val="22"/>
          <w:szCs w:val="22"/>
        </w:rPr>
        <w:t xml:space="preserve">, discussed personal stressors, acknowledged commonalities across different experiences, and identified strategies to modify behavior or identify useful tools </w:t>
      </w:r>
      <w:r w:rsidR="000C0D73">
        <w:rPr>
          <w:sz w:val="22"/>
          <w:szCs w:val="22"/>
        </w:rPr>
        <w:t xml:space="preserve">to apply in future situations. </w:t>
      </w:r>
      <w:r w:rsidRPr="00A074DF">
        <w:rPr>
          <w:sz w:val="22"/>
          <w:szCs w:val="22"/>
        </w:rPr>
        <w:t>Demonstration and interactive activities illustrated variations</w:t>
      </w:r>
      <w:r w:rsidR="000C0D73">
        <w:rPr>
          <w:sz w:val="22"/>
          <w:szCs w:val="22"/>
        </w:rPr>
        <w:t xml:space="preserve"> in stress and </w:t>
      </w:r>
      <w:r w:rsidR="000C0D73">
        <w:rPr>
          <w:sz w:val="22"/>
          <w:szCs w:val="22"/>
        </w:rPr>
        <w:lastRenderedPageBreak/>
        <w:t xml:space="preserve">coping options. </w:t>
      </w:r>
      <w:r w:rsidRPr="00A074DF">
        <w:rPr>
          <w:sz w:val="22"/>
          <w:szCs w:val="22"/>
        </w:rPr>
        <w:t xml:space="preserve">For example, one activity used expanding sponges and water to trigger dialogue regarding individual variations in the emotional and physiological tolerance and reaction to stress. In other activities, a scavenger hunt </w:t>
      </w:r>
    </w:p>
    <w:p w14:paraId="4C9FE6C6" w14:textId="77777777" w:rsidR="00A074DF" w:rsidRDefault="00A074DF" w:rsidP="000C0D73">
      <w:pPr>
        <w:jc w:val="both"/>
        <w:rPr>
          <w:sz w:val="22"/>
          <w:szCs w:val="22"/>
        </w:rPr>
      </w:pPr>
      <w:proofErr w:type="gramStart"/>
      <w:r w:rsidRPr="00A074DF">
        <w:rPr>
          <w:sz w:val="22"/>
          <w:szCs w:val="22"/>
        </w:rPr>
        <w:lastRenderedPageBreak/>
        <w:t>paired</w:t>
      </w:r>
      <w:proofErr w:type="gramEnd"/>
      <w:r w:rsidRPr="00A074DF">
        <w:rPr>
          <w:sz w:val="22"/>
          <w:szCs w:val="22"/>
        </w:rPr>
        <w:t xml:space="preserve"> </w:t>
      </w:r>
      <w:proofErr w:type="spellStart"/>
      <w:r w:rsidRPr="00A074DF">
        <w:rPr>
          <w:sz w:val="22"/>
          <w:szCs w:val="22"/>
        </w:rPr>
        <w:t>promotoras</w:t>
      </w:r>
      <w:proofErr w:type="spellEnd"/>
      <w:r w:rsidRPr="00A074DF">
        <w:rPr>
          <w:sz w:val="22"/>
          <w:szCs w:val="22"/>
        </w:rPr>
        <w:t xml:space="preserve"> to explore community resources and a talk show format with local mental providers created a supportive environment for </w:t>
      </w:r>
      <w:proofErr w:type="spellStart"/>
      <w:r w:rsidRPr="00A074DF">
        <w:rPr>
          <w:sz w:val="22"/>
          <w:szCs w:val="22"/>
        </w:rPr>
        <w:t>promotoras</w:t>
      </w:r>
      <w:proofErr w:type="spellEnd"/>
      <w:r w:rsidRPr="00A074DF">
        <w:rPr>
          <w:sz w:val="22"/>
          <w:szCs w:val="22"/>
        </w:rPr>
        <w:t xml:space="preserve"> to explore when and how t</w:t>
      </w:r>
      <w:r w:rsidR="000C0D73">
        <w:rPr>
          <w:sz w:val="22"/>
          <w:szCs w:val="22"/>
        </w:rPr>
        <w:t>o seek professional assistance.</w:t>
      </w:r>
    </w:p>
    <w:p w14:paraId="2D6506E2" w14:textId="77777777" w:rsidR="000C0D73" w:rsidRDefault="000C0D73" w:rsidP="000C0D73">
      <w:pPr>
        <w:jc w:val="both"/>
        <w:rPr>
          <w:sz w:val="22"/>
          <w:szCs w:val="22"/>
        </w:rPr>
      </w:pPr>
    </w:p>
    <w:p w14:paraId="17C5D47C" w14:textId="77777777" w:rsidR="006E0E50" w:rsidRDefault="006E0E50" w:rsidP="000C0D73">
      <w:pPr>
        <w:jc w:val="both"/>
        <w:rPr>
          <w:sz w:val="22"/>
          <w:szCs w:val="22"/>
        </w:rPr>
        <w:sectPr w:rsidR="006E0E50" w:rsidSect="00A074DF">
          <w:type w:val="continuous"/>
          <w:pgSz w:w="12240" w:h="15840"/>
          <w:pgMar w:top="1440" w:right="1440" w:bottom="1440" w:left="1440" w:header="720" w:footer="720" w:gutter="0"/>
          <w:cols w:num="2" w:space="720"/>
          <w:docGrid w:linePitch="360"/>
        </w:sectPr>
      </w:pPr>
    </w:p>
    <w:p w14:paraId="1B755E5C" w14:textId="77777777" w:rsidR="006E0E50" w:rsidRPr="009E163D" w:rsidRDefault="006E0E50" w:rsidP="006E0E50">
      <w:pPr>
        <w:tabs>
          <w:tab w:val="left" w:pos="2775"/>
        </w:tabs>
        <w:contextualSpacing/>
        <w:jc w:val="center"/>
        <w:rPr>
          <w:b/>
          <w:sz w:val="22"/>
          <w:szCs w:val="22"/>
        </w:rPr>
      </w:pPr>
      <w:r w:rsidRPr="009E163D">
        <w:rPr>
          <w:b/>
          <w:sz w:val="22"/>
          <w:szCs w:val="22"/>
        </w:rPr>
        <w:lastRenderedPageBreak/>
        <w:t>Table 2</w:t>
      </w:r>
    </w:p>
    <w:p w14:paraId="00B1A393" w14:textId="77777777" w:rsidR="006E0E50" w:rsidRDefault="006E0E50" w:rsidP="006E0E50">
      <w:pPr>
        <w:tabs>
          <w:tab w:val="left" w:pos="2775"/>
        </w:tabs>
        <w:contextualSpacing/>
        <w:rPr>
          <w:b/>
        </w:rPr>
      </w:pPr>
    </w:p>
    <w:p w14:paraId="39DD0210" w14:textId="77777777" w:rsidR="006E0E50" w:rsidRPr="00C3102F" w:rsidRDefault="006E0E50" w:rsidP="006E0E50">
      <w:pPr>
        <w:tabs>
          <w:tab w:val="left" w:pos="2775"/>
        </w:tabs>
        <w:ind w:firstLine="810"/>
        <w:contextualSpacing/>
        <w:rPr>
          <w:b/>
          <w:sz w:val="18"/>
          <w:szCs w:val="18"/>
        </w:rPr>
      </w:pPr>
      <w:r w:rsidRPr="00C3102F">
        <w:rPr>
          <w:b/>
          <w:sz w:val="18"/>
          <w:szCs w:val="18"/>
        </w:rPr>
        <w:t>Demographic Characteristics of the Sample (n= 20)</w:t>
      </w:r>
    </w:p>
    <w:tbl>
      <w:tblPr>
        <w:tblW w:w="7909" w:type="dxa"/>
        <w:jc w:val="center"/>
        <w:tblInd w:w="90" w:type="dxa"/>
        <w:tblLook w:val="04A0" w:firstRow="1" w:lastRow="0" w:firstColumn="1" w:lastColumn="0" w:noHBand="0" w:noVBand="1"/>
      </w:tblPr>
      <w:tblGrid>
        <w:gridCol w:w="3149"/>
        <w:gridCol w:w="960"/>
        <w:gridCol w:w="920"/>
        <w:gridCol w:w="960"/>
        <w:gridCol w:w="960"/>
        <w:gridCol w:w="960"/>
      </w:tblGrid>
      <w:tr w:rsidR="006E0E50" w:rsidRPr="00C3102F" w14:paraId="68CE06AD" w14:textId="77777777" w:rsidTr="006E0E50">
        <w:trPr>
          <w:trHeight w:val="270"/>
          <w:jc w:val="center"/>
        </w:trPr>
        <w:tc>
          <w:tcPr>
            <w:tcW w:w="3149" w:type="dxa"/>
            <w:tcBorders>
              <w:top w:val="single" w:sz="4" w:space="0" w:color="auto"/>
              <w:bottom w:val="single" w:sz="4" w:space="0" w:color="auto"/>
            </w:tcBorders>
            <w:shd w:val="clear" w:color="auto" w:fill="auto"/>
            <w:noWrap/>
            <w:vAlign w:val="bottom"/>
            <w:hideMark/>
          </w:tcPr>
          <w:p w14:paraId="6EA4FA79" w14:textId="77777777" w:rsidR="006E0E50" w:rsidRPr="00C3102F" w:rsidRDefault="006E0E50" w:rsidP="003B2A4F">
            <w:pPr>
              <w:ind w:right="-307"/>
              <w:rPr>
                <w:sz w:val="18"/>
                <w:szCs w:val="18"/>
              </w:rPr>
            </w:pPr>
            <w:r w:rsidRPr="00C3102F">
              <w:rPr>
                <w:sz w:val="18"/>
                <w:szCs w:val="18"/>
              </w:rPr>
              <w:t> </w:t>
            </w:r>
          </w:p>
        </w:tc>
        <w:tc>
          <w:tcPr>
            <w:tcW w:w="960" w:type="dxa"/>
            <w:tcBorders>
              <w:top w:val="single" w:sz="4" w:space="0" w:color="auto"/>
              <w:bottom w:val="single" w:sz="4" w:space="0" w:color="auto"/>
            </w:tcBorders>
            <w:shd w:val="clear" w:color="auto" w:fill="auto"/>
            <w:noWrap/>
            <w:vAlign w:val="bottom"/>
            <w:hideMark/>
          </w:tcPr>
          <w:p w14:paraId="4A29F762" w14:textId="77777777" w:rsidR="006E0E50" w:rsidRPr="00C3102F" w:rsidRDefault="006E0E50" w:rsidP="003B2A4F">
            <w:pPr>
              <w:jc w:val="center"/>
              <w:rPr>
                <w:sz w:val="18"/>
                <w:szCs w:val="18"/>
              </w:rPr>
            </w:pPr>
            <w:r w:rsidRPr="00C3102F">
              <w:rPr>
                <w:sz w:val="18"/>
                <w:szCs w:val="18"/>
              </w:rPr>
              <w:t>%</w:t>
            </w:r>
          </w:p>
        </w:tc>
        <w:tc>
          <w:tcPr>
            <w:tcW w:w="920" w:type="dxa"/>
            <w:tcBorders>
              <w:top w:val="single" w:sz="4" w:space="0" w:color="auto"/>
              <w:bottom w:val="single" w:sz="4" w:space="0" w:color="auto"/>
            </w:tcBorders>
            <w:shd w:val="clear" w:color="auto" w:fill="auto"/>
            <w:noWrap/>
            <w:vAlign w:val="bottom"/>
            <w:hideMark/>
          </w:tcPr>
          <w:p w14:paraId="47043528" w14:textId="77777777" w:rsidR="006E0E50" w:rsidRPr="00C3102F" w:rsidRDefault="006E0E50" w:rsidP="003B2A4F">
            <w:pPr>
              <w:jc w:val="center"/>
              <w:rPr>
                <w:sz w:val="18"/>
                <w:szCs w:val="18"/>
              </w:rPr>
            </w:pPr>
            <w:r w:rsidRPr="00C3102F">
              <w:rPr>
                <w:sz w:val="18"/>
                <w:szCs w:val="18"/>
              </w:rPr>
              <w:t xml:space="preserve">n </w:t>
            </w:r>
          </w:p>
        </w:tc>
        <w:tc>
          <w:tcPr>
            <w:tcW w:w="960" w:type="dxa"/>
            <w:tcBorders>
              <w:top w:val="single" w:sz="4" w:space="0" w:color="auto"/>
              <w:bottom w:val="single" w:sz="4" w:space="0" w:color="auto"/>
            </w:tcBorders>
            <w:vAlign w:val="bottom"/>
          </w:tcPr>
          <w:p w14:paraId="07780F1C" w14:textId="77777777" w:rsidR="006E0E50" w:rsidRPr="00C3102F" w:rsidRDefault="006E0E50" w:rsidP="003B2A4F">
            <w:pPr>
              <w:jc w:val="center"/>
              <w:rPr>
                <w:sz w:val="18"/>
                <w:szCs w:val="18"/>
              </w:rPr>
            </w:pPr>
            <w:r w:rsidRPr="00C3102F">
              <w:rPr>
                <w:sz w:val="18"/>
                <w:szCs w:val="18"/>
              </w:rPr>
              <w:t>Mean</w:t>
            </w:r>
          </w:p>
        </w:tc>
        <w:tc>
          <w:tcPr>
            <w:tcW w:w="960" w:type="dxa"/>
            <w:tcBorders>
              <w:top w:val="single" w:sz="4" w:space="0" w:color="auto"/>
              <w:bottom w:val="single" w:sz="4" w:space="0" w:color="auto"/>
            </w:tcBorders>
            <w:shd w:val="clear" w:color="auto" w:fill="auto"/>
            <w:noWrap/>
            <w:vAlign w:val="bottom"/>
            <w:hideMark/>
          </w:tcPr>
          <w:p w14:paraId="23E854E7" w14:textId="77777777" w:rsidR="006E0E50" w:rsidRPr="00C3102F" w:rsidRDefault="006E0E50" w:rsidP="003B2A4F">
            <w:pPr>
              <w:jc w:val="center"/>
              <w:rPr>
                <w:sz w:val="18"/>
                <w:szCs w:val="18"/>
              </w:rPr>
            </w:pPr>
            <w:r w:rsidRPr="00C3102F">
              <w:rPr>
                <w:sz w:val="18"/>
                <w:szCs w:val="18"/>
              </w:rPr>
              <w:t>SD</w:t>
            </w:r>
          </w:p>
        </w:tc>
        <w:tc>
          <w:tcPr>
            <w:tcW w:w="960" w:type="dxa"/>
            <w:tcBorders>
              <w:top w:val="single" w:sz="4" w:space="0" w:color="auto"/>
              <w:bottom w:val="single" w:sz="4" w:space="0" w:color="auto"/>
            </w:tcBorders>
            <w:shd w:val="clear" w:color="auto" w:fill="auto"/>
            <w:noWrap/>
            <w:vAlign w:val="bottom"/>
            <w:hideMark/>
          </w:tcPr>
          <w:p w14:paraId="230DF072" w14:textId="77777777" w:rsidR="006E0E50" w:rsidRPr="00C3102F" w:rsidRDefault="006E0E50" w:rsidP="003B2A4F">
            <w:pPr>
              <w:jc w:val="center"/>
              <w:rPr>
                <w:sz w:val="18"/>
                <w:szCs w:val="18"/>
              </w:rPr>
            </w:pPr>
            <w:r w:rsidRPr="00C3102F">
              <w:rPr>
                <w:sz w:val="18"/>
                <w:szCs w:val="18"/>
              </w:rPr>
              <w:t>Range</w:t>
            </w:r>
          </w:p>
        </w:tc>
      </w:tr>
      <w:tr w:rsidR="006E0E50" w:rsidRPr="00C3102F" w14:paraId="5A2EA7D9" w14:textId="77777777" w:rsidTr="006E0E50">
        <w:trPr>
          <w:trHeight w:val="270"/>
          <w:jc w:val="center"/>
        </w:trPr>
        <w:tc>
          <w:tcPr>
            <w:tcW w:w="3149" w:type="dxa"/>
            <w:tcBorders>
              <w:top w:val="single" w:sz="4" w:space="0" w:color="auto"/>
            </w:tcBorders>
            <w:shd w:val="clear" w:color="auto" w:fill="auto"/>
            <w:noWrap/>
            <w:vAlign w:val="bottom"/>
            <w:hideMark/>
          </w:tcPr>
          <w:p w14:paraId="42E2FCB4" w14:textId="77777777" w:rsidR="006E0E50" w:rsidRPr="00C3102F" w:rsidRDefault="006E0E50" w:rsidP="003B2A4F">
            <w:pPr>
              <w:rPr>
                <w:sz w:val="18"/>
                <w:szCs w:val="18"/>
              </w:rPr>
            </w:pPr>
            <w:r w:rsidRPr="00C3102F">
              <w:rPr>
                <w:sz w:val="18"/>
                <w:szCs w:val="18"/>
              </w:rPr>
              <w:t>Age, years</w:t>
            </w:r>
          </w:p>
        </w:tc>
        <w:tc>
          <w:tcPr>
            <w:tcW w:w="960" w:type="dxa"/>
            <w:tcBorders>
              <w:top w:val="single" w:sz="4" w:space="0" w:color="auto"/>
            </w:tcBorders>
            <w:shd w:val="clear" w:color="auto" w:fill="auto"/>
            <w:noWrap/>
            <w:vAlign w:val="center"/>
            <w:hideMark/>
          </w:tcPr>
          <w:p w14:paraId="190567C6" w14:textId="77777777" w:rsidR="006E0E50" w:rsidRPr="00C3102F" w:rsidRDefault="006E0E50" w:rsidP="003B2A4F">
            <w:pPr>
              <w:jc w:val="center"/>
              <w:rPr>
                <w:sz w:val="18"/>
                <w:szCs w:val="18"/>
              </w:rPr>
            </w:pPr>
          </w:p>
        </w:tc>
        <w:tc>
          <w:tcPr>
            <w:tcW w:w="920" w:type="dxa"/>
            <w:tcBorders>
              <w:top w:val="single" w:sz="4" w:space="0" w:color="auto"/>
            </w:tcBorders>
            <w:shd w:val="clear" w:color="auto" w:fill="auto"/>
            <w:noWrap/>
            <w:vAlign w:val="center"/>
            <w:hideMark/>
          </w:tcPr>
          <w:p w14:paraId="7F6ADD5C" w14:textId="77777777" w:rsidR="006E0E50" w:rsidRPr="00C3102F" w:rsidRDefault="006E0E50" w:rsidP="003B2A4F">
            <w:pPr>
              <w:jc w:val="center"/>
              <w:rPr>
                <w:sz w:val="18"/>
                <w:szCs w:val="18"/>
              </w:rPr>
            </w:pPr>
            <w:r w:rsidRPr="00C3102F">
              <w:rPr>
                <w:sz w:val="18"/>
                <w:szCs w:val="18"/>
              </w:rPr>
              <w:t>20</w:t>
            </w:r>
          </w:p>
        </w:tc>
        <w:tc>
          <w:tcPr>
            <w:tcW w:w="960" w:type="dxa"/>
            <w:tcBorders>
              <w:top w:val="single" w:sz="4" w:space="0" w:color="auto"/>
            </w:tcBorders>
            <w:vAlign w:val="center"/>
          </w:tcPr>
          <w:p w14:paraId="41BB08BC" w14:textId="77777777" w:rsidR="006E0E50" w:rsidRPr="00C3102F" w:rsidRDefault="006E0E50" w:rsidP="003B2A4F">
            <w:pPr>
              <w:jc w:val="center"/>
              <w:rPr>
                <w:sz w:val="18"/>
                <w:szCs w:val="18"/>
              </w:rPr>
            </w:pPr>
            <w:r w:rsidRPr="00C3102F">
              <w:rPr>
                <w:sz w:val="18"/>
                <w:szCs w:val="18"/>
              </w:rPr>
              <w:t>33.9</w:t>
            </w:r>
          </w:p>
        </w:tc>
        <w:tc>
          <w:tcPr>
            <w:tcW w:w="960" w:type="dxa"/>
            <w:tcBorders>
              <w:top w:val="single" w:sz="4" w:space="0" w:color="auto"/>
            </w:tcBorders>
            <w:shd w:val="clear" w:color="auto" w:fill="auto"/>
            <w:noWrap/>
            <w:vAlign w:val="center"/>
            <w:hideMark/>
          </w:tcPr>
          <w:p w14:paraId="3F4AE6F1" w14:textId="77777777" w:rsidR="006E0E50" w:rsidRPr="00C3102F" w:rsidRDefault="006E0E50" w:rsidP="003B2A4F">
            <w:pPr>
              <w:jc w:val="center"/>
              <w:rPr>
                <w:sz w:val="18"/>
                <w:szCs w:val="18"/>
              </w:rPr>
            </w:pPr>
            <w:r w:rsidRPr="00C3102F">
              <w:rPr>
                <w:sz w:val="18"/>
                <w:szCs w:val="18"/>
              </w:rPr>
              <w:t>8.51</w:t>
            </w:r>
          </w:p>
        </w:tc>
        <w:tc>
          <w:tcPr>
            <w:tcW w:w="960" w:type="dxa"/>
            <w:tcBorders>
              <w:top w:val="single" w:sz="4" w:space="0" w:color="auto"/>
            </w:tcBorders>
            <w:shd w:val="clear" w:color="auto" w:fill="auto"/>
            <w:noWrap/>
            <w:vAlign w:val="center"/>
            <w:hideMark/>
          </w:tcPr>
          <w:p w14:paraId="378A92CE" w14:textId="77777777" w:rsidR="006E0E50" w:rsidRPr="00C3102F" w:rsidRDefault="006E0E50" w:rsidP="003B2A4F">
            <w:pPr>
              <w:jc w:val="center"/>
              <w:rPr>
                <w:sz w:val="18"/>
                <w:szCs w:val="18"/>
              </w:rPr>
            </w:pPr>
            <w:r w:rsidRPr="00C3102F">
              <w:rPr>
                <w:sz w:val="18"/>
                <w:szCs w:val="18"/>
              </w:rPr>
              <w:t>25-60</w:t>
            </w:r>
          </w:p>
        </w:tc>
      </w:tr>
      <w:tr w:rsidR="006E0E50" w:rsidRPr="00C3102F" w14:paraId="416DB620" w14:textId="77777777" w:rsidTr="006E0E50">
        <w:trPr>
          <w:trHeight w:val="255"/>
          <w:jc w:val="center"/>
        </w:trPr>
        <w:tc>
          <w:tcPr>
            <w:tcW w:w="3149" w:type="dxa"/>
            <w:shd w:val="clear" w:color="auto" w:fill="auto"/>
            <w:noWrap/>
            <w:vAlign w:val="bottom"/>
            <w:hideMark/>
          </w:tcPr>
          <w:p w14:paraId="4AEA26D1" w14:textId="77777777" w:rsidR="006E0E50" w:rsidRPr="00C3102F" w:rsidRDefault="006E0E50" w:rsidP="003B2A4F">
            <w:pPr>
              <w:rPr>
                <w:sz w:val="18"/>
                <w:szCs w:val="18"/>
              </w:rPr>
            </w:pPr>
            <w:r w:rsidRPr="00C3102F">
              <w:rPr>
                <w:sz w:val="18"/>
                <w:szCs w:val="18"/>
              </w:rPr>
              <w:t>Marital Status</w:t>
            </w:r>
          </w:p>
        </w:tc>
        <w:tc>
          <w:tcPr>
            <w:tcW w:w="960" w:type="dxa"/>
            <w:shd w:val="clear" w:color="auto" w:fill="auto"/>
            <w:noWrap/>
            <w:vAlign w:val="center"/>
            <w:hideMark/>
          </w:tcPr>
          <w:p w14:paraId="13E00ADA" w14:textId="77777777" w:rsidR="006E0E50" w:rsidRPr="00C3102F" w:rsidRDefault="006E0E50" w:rsidP="003B2A4F">
            <w:pPr>
              <w:jc w:val="center"/>
              <w:rPr>
                <w:sz w:val="18"/>
                <w:szCs w:val="18"/>
              </w:rPr>
            </w:pPr>
          </w:p>
        </w:tc>
        <w:tc>
          <w:tcPr>
            <w:tcW w:w="920" w:type="dxa"/>
            <w:shd w:val="clear" w:color="auto" w:fill="auto"/>
            <w:noWrap/>
            <w:vAlign w:val="center"/>
            <w:hideMark/>
          </w:tcPr>
          <w:p w14:paraId="150D0864" w14:textId="77777777" w:rsidR="006E0E50" w:rsidRPr="00C3102F" w:rsidRDefault="006E0E50" w:rsidP="003B2A4F">
            <w:pPr>
              <w:jc w:val="center"/>
              <w:rPr>
                <w:sz w:val="18"/>
                <w:szCs w:val="18"/>
              </w:rPr>
            </w:pPr>
            <w:r w:rsidRPr="00C3102F">
              <w:rPr>
                <w:sz w:val="18"/>
                <w:szCs w:val="18"/>
              </w:rPr>
              <w:t>20</w:t>
            </w:r>
          </w:p>
        </w:tc>
        <w:tc>
          <w:tcPr>
            <w:tcW w:w="960" w:type="dxa"/>
            <w:vAlign w:val="center"/>
          </w:tcPr>
          <w:p w14:paraId="3007AAD6" w14:textId="77777777" w:rsidR="006E0E50" w:rsidRPr="00C3102F" w:rsidRDefault="006E0E50" w:rsidP="003B2A4F">
            <w:pPr>
              <w:jc w:val="center"/>
              <w:rPr>
                <w:sz w:val="18"/>
                <w:szCs w:val="18"/>
              </w:rPr>
            </w:pPr>
          </w:p>
        </w:tc>
        <w:tc>
          <w:tcPr>
            <w:tcW w:w="960" w:type="dxa"/>
            <w:shd w:val="clear" w:color="auto" w:fill="auto"/>
            <w:noWrap/>
            <w:vAlign w:val="center"/>
            <w:hideMark/>
          </w:tcPr>
          <w:p w14:paraId="3131AAA9" w14:textId="77777777" w:rsidR="006E0E50" w:rsidRPr="00C3102F" w:rsidRDefault="006E0E50" w:rsidP="003B2A4F">
            <w:pPr>
              <w:jc w:val="center"/>
              <w:rPr>
                <w:sz w:val="18"/>
                <w:szCs w:val="18"/>
              </w:rPr>
            </w:pPr>
          </w:p>
        </w:tc>
        <w:tc>
          <w:tcPr>
            <w:tcW w:w="960" w:type="dxa"/>
            <w:shd w:val="clear" w:color="auto" w:fill="auto"/>
            <w:noWrap/>
            <w:vAlign w:val="center"/>
            <w:hideMark/>
          </w:tcPr>
          <w:p w14:paraId="596CE3D8" w14:textId="77777777" w:rsidR="006E0E50" w:rsidRPr="00C3102F" w:rsidRDefault="006E0E50" w:rsidP="003B2A4F">
            <w:pPr>
              <w:jc w:val="center"/>
              <w:rPr>
                <w:sz w:val="18"/>
                <w:szCs w:val="18"/>
              </w:rPr>
            </w:pPr>
          </w:p>
        </w:tc>
      </w:tr>
      <w:tr w:rsidR="006E0E50" w:rsidRPr="00C3102F" w14:paraId="0E1B736E" w14:textId="77777777" w:rsidTr="006E0E50">
        <w:trPr>
          <w:trHeight w:val="255"/>
          <w:jc w:val="center"/>
        </w:trPr>
        <w:tc>
          <w:tcPr>
            <w:tcW w:w="3149" w:type="dxa"/>
            <w:shd w:val="clear" w:color="auto" w:fill="auto"/>
            <w:noWrap/>
            <w:vAlign w:val="bottom"/>
            <w:hideMark/>
          </w:tcPr>
          <w:p w14:paraId="28F0CF9B" w14:textId="77777777" w:rsidR="006E0E50" w:rsidRPr="00C3102F" w:rsidRDefault="006E0E50" w:rsidP="003B2A4F">
            <w:pPr>
              <w:ind w:firstLineChars="100" w:firstLine="180"/>
              <w:rPr>
                <w:sz w:val="18"/>
                <w:szCs w:val="18"/>
              </w:rPr>
            </w:pPr>
            <w:r w:rsidRPr="00C3102F">
              <w:rPr>
                <w:sz w:val="18"/>
                <w:szCs w:val="18"/>
              </w:rPr>
              <w:t>Married or cohabitating</w:t>
            </w:r>
          </w:p>
        </w:tc>
        <w:tc>
          <w:tcPr>
            <w:tcW w:w="960" w:type="dxa"/>
            <w:shd w:val="clear" w:color="auto" w:fill="auto"/>
            <w:noWrap/>
            <w:vAlign w:val="center"/>
            <w:hideMark/>
          </w:tcPr>
          <w:p w14:paraId="395928F4" w14:textId="77777777" w:rsidR="006E0E50" w:rsidRPr="00C3102F" w:rsidRDefault="006E0E50" w:rsidP="003B2A4F">
            <w:pPr>
              <w:jc w:val="center"/>
              <w:rPr>
                <w:sz w:val="18"/>
                <w:szCs w:val="18"/>
              </w:rPr>
            </w:pPr>
            <w:r w:rsidRPr="00C3102F">
              <w:rPr>
                <w:sz w:val="18"/>
                <w:szCs w:val="18"/>
              </w:rPr>
              <w:t>60%</w:t>
            </w:r>
          </w:p>
        </w:tc>
        <w:tc>
          <w:tcPr>
            <w:tcW w:w="920" w:type="dxa"/>
            <w:shd w:val="clear" w:color="auto" w:fill="auto"/>
            <w:noWrap/>
            <w:vAlign w:val="center"/>
            <w:hideMark/>
          </w:tcPr>
          <w:p w14:paraId="2C84E299" w14:textId="77777777" w:rsidR="006E0E50" w:rsidRPr="00C3102F" w:rsidRDefault="006E0E50" w:rsidP="003B2A4F">
            <w:pPr>
              <w:jc w:val="center"/>
              <w:rPr>
                <w:sz w:val="18"/>
                <w:szCs w:val="18"/>
              </w:rPr>
            </w:pPr>
            <w:r w:rsidRPr="00C3102F">
              <w:rPr>
                <w:sz w:val="18"/>
                <w:szCs w:val="18"/>
              </w:rPr>
              <w:t>12</w:t>
            </w:r>
          </w:p>
        </w:tc>
        <w:tc>
          <w:tcPr>
            <w:tcW w:w="960" w:type="dxa"/>
            <w:vAlign w:val="center"/>
          </w:tcPr>
          <w:p w14:paraId="00F5C5C7" w14:textId="77777777" w:rsidR="006E0E50" w:rsidRPr="00C3102F" w:rsidRDefault="006E0E50" w:rsidP="003B2A4F">
            <w:pPr>
              <w:jc w:val="center"/>
              <w:rPr>
                <w:sz w:val="18"/>
                <w:szCs w:val="18"/>
              </w:rPr>
            </w:pPr>
          </w:p>
        </w:tc>
        <w:tc>
          <w:tcPr>
            <w:tcW w:w="960" w:type="dxa"/>
            <w:shd w:val="clear" w:color="auto" w:fill="auto"/>
            <w:noWrap/>
            <w:vAlign w:val="center"/>
            <w:hideMark/>
          </w:tcPr>
          <w:p w14:paraId="6FB10DA0" w14:textId="77777777" w:rsidR="006E0E50" w:rsidRPr="00C3102F" w:rsidRDefault="006E0E50" w:rsidP="003B2A4F">
            <w:pPr>
              <w:jc w:val="center"/>
              <w:rPr>
                <w:sz w:val="18"/>
                <w:szCs w:val="18"/>
              </w:rPr>
            </w:pPr>
          </w:p>
        </w:tc>
        <w:tc>
          <w:tcPr>
            <w:tcW w:w="960" w:type="dxa"/>
            <w:shd w:val="clear" w:color="auto" w:fill="auto"/>
            <w:noWrap/>
            <w:vAlign w:val="center"/>
            <w:hideMark/>
          </w:tcPr>
          <w:p w14:paraId="7664A504" w14:textId="77777777" w:rsidR="006E0E50" w:rsidRPr="00C3102F" w:rsidRDefault="006E0E50" w:rsidP="003B2A4F">
            <w:pPr>
              <w:jc w:val="center"/>
              <w:rPr>
                <w:sz w:val="18"/>
                <w:szCs w:val="18"/>
              </w:rPr>
            </w:pPr>
          </w:p>
        </w:tc>
      </w:tr>
      <w:tr w:rsidR="006E0E50" w:rsidRPr="00C3102F" w14:paraId="57620F62" w14:textId="77777777" w:rsidTr="006E0E50">
        <w:trPr>
          <w:trHeight w:val="255"/>
          <w:jc w:val="center"/>
        </w:trPr>
        <w:tc>
          <w:tcPr>
            <w:tcW w:w="3149" w:type="dxa"/>
            <w:shd w:val="clear" w:color="auto" w:fill="auto"/>
            <w:noWrap/>
            <w:vAlign w:val="bottom"/>
            <w:hideMark/>
          </w:tcPr>
          <w:p w14:paraId="4E2808DE" w14:textId="77777777" w:rsidR="006E0E50" w:rsidRPr="00C3102F" w:rsidRDefault="006E0E50" w:rsidP="003B2A4F">
            <w:pPr>
              <w:ind w:firstLineChars="100" w:firstLine="180"/>
              <w:rPr>
                <w:sz w:val="18"/>
                <w:szCs w:val="18"/>
              </w:rPr>
            </w:pPr>
            <w:r w:rsidRPr="00C3102F">
              <w:rPr>
                <w:sz w:val="18"/>
                <w:szCs w:val="18"/>
              </w:rPr>
              <w:t>Single/divorced/widowed</w:t>
            </w:r>
          </w:p>
        </w:tc>
        <w:tc>
          <w:tcPr>
            <w:tcW w:w="960" w:type="dxa"/>
            <w:shd w:val="clear" w:color="auto" w:fill="auto"/>
            <w:noWrap/>
            <w:vAlign w:val="center"/>
            <w:hideMark/>
          </w:tcPr>
          <w:p w14:paraId="70E9188B" w14:textId="77777777" w:rsidR="006E0E50" w:rsidRPr="00C3102F" w:rsidRDefault="006E0E50" w:rsidP="003B2A4F">
            <w:pPr>
              <w:jc w:val="center"/>
              <w:rPr>
                <w:sz w:val="18"/>
                <w:szCs w:val="18"/>
              </w:rPr>
            </w:pPr>
            <w:r w:rsidRPr="00C3102F">
              <w:rPr>
                <w:sz w:val="18"/>
                <w:szCs w:val="18"/>
              </w:rPr>
              <w:t>40%</w:t>
            </w:r>
          </w:p>
        </w:tc>
        <w:tc>
          <w:tcPr>
            <w:tcW w:w="920" w:type="dxa"/>
            <w:shd w:val="clear" w:color="auto" w:fill="auto"/>
            <w:noWrap/>
            <w:vAlign w:val="center"/>
            <w:hideMark/>
          </w:tcPr>
          <w:p w14:paraId="395F7BEA" w14:textId="77777777" w:rsidR="006E0E50" w:rsidRPr="00C3102F" w:rsidRDefault="006E0E50" w:rsidP="003B2A4F">
            <w:pPr>
              <w:jc w:val="center"/>
              <w:rPr>
                <w:sz w:val="18"/>
                <w:szCs w:val="18"/>
              </w:rPr>
            </w:pPr>
            <w:r w:rsidRPr="00C3102F">
              <w:rPr>
                <w:sz w:val="18"/>
                <w:szCs w:val="18"/>
              </w:rPr>
              <w:t>8</w:t>
            </w:r>
          </w:p>
        </w:tc>
        <w:tc>
          <w:tcPr>
            <w:tcW w:w="960" w:type="dxa"/>
            <w:vAlign w:val="center"/>
          </w:tcPr>
          <w:p w14:paraId="1F219DBF" w14:textId="77777777" w:rsidR="006E0E50" w:rsidRPr="00C3102F" w:rsidRDefault="006E0E50" w:rsidP="003B2A4F">
            <w:pPr>
              <w:jc w:val="center"/>
              <w:rPr>
                <w:sz w:val="18"/>
                <w:szCs w:val="18"/>
              </w:rPr>
            </w:pPr>
          </w:p>
        </w:tc>
        <w:tc>
          <w:tcPr>
            <w:tcW w:w="960" w:type="dxa"/>
            <w:shd w:val="clear" w:color="auto" w:fill="auto"/>
            <w:noWrap/>
            <w:vAlign w:val="center"/>
            <w:hideMark/>
          </w:tcPr>
          <w:p w14:paraId="67AD64C7" w14:textId="77777777" w:rsidR="006E0E50" w:rsidRPr="00C3102F" w:rsidRDefault="006E0E50" w:rsidP="003B2A4F">
            <w:pPr>
              <w:jc w:val="center"/>
              <w:rPr>
                <w:sz w:val="18"/>
                <w:szCs w:val="18"/>
              </w:rPr>
            </w:pPr>
          </w:p>
        </w:tc>
        <w:tc>
          <w:tcPr>
            <w:tcW w:w="960" w:type="dxa"/>
            <w:shd w:val="clear" w:color="auto" w:fill="auto"/>
            <w:noWrap/>
            <w:vAlign w:val="center"/>
            <w:hideMark/>
          </w:tcPr>
          <w:p w14:paraId="02000F92" w14:textId="77777777" w:rsidR="006E0E50" w:rsidRPr="00C3102F" w:rsidRDefault="006E0E50" w:rsidP="003B2A4F">
            <w:pPr>
              <w:jc w:val="center"/>
              <w:rPr>
                <w:sz w:val="18"/>
                <w:szCs w:val="18"/>
              </w:rPr>
            </w:pPr>
          </w:p>
        </w:tc>
      </w:tr>
      <w:tr w:rsidR="006E0E50" w:rsidRPr="00C3102F" w14:paraId="4762702E" w14:textId="77777777" w:rsidTr="006E0E50">
        <w:trPr>
          <w:trHeight w:val="255"/>
          <w:jc w:val="center"/>
        </w:trPr>
        <w:tc>
          <w:tcPr>
            <w:tcW w:w="3149" w:type="dxa"/>
            <w:shd w:val="clear" w:color="auto" w:fill="auto"/>
            <w:noWrap/>
            <w:vAlign w:val="bottom"/>
            <w:hideMark/>
          </w:tcPr>
          <w:p w14:paraId="67F4F70C" w14:textId="77777777" w:rsidR="006E0E50" w:rsidRPr="00C3102F" w:rsidRDefault="006E0E50" w:rsidP="003B2A4F">
            <w:pPr>
              <w:rPr>
                <w:sz w:val="18"/>
                <w:szCs w:val="18"/>
              </w:rPr>
            </w:pPr>
            <w:r w:rsidRPr="00C3102F">
              <w:rPr>
                <w:sz w:val="18"/>
                <w:szCs w:val="18"/>
              </w:rPr>
              <w:t>Education</w:t>
            </w:r>
          </w:p>
        </w:tc>
        <w:tc>
          <w:tcPr>
            <w:tcW w:w="960" w:type="dxa"/>
            <w:shd w:val="clear" w:color="auto" w:fill="auto"/>
            <w:noWrap/>
            <w:vAlign w:val="center"/>
            <w:hideMark/>
          </w:tcPr>
          <w:p w14:paraId="3BB66D0A" w14:textId="77777777" w:rsidR="006E0E50" w:rsidRPr="00C3102F" w:rsidRDefault="006E0E50" w:rsidP="003B2A4F">
            <w:pPr>
              <w:jc w:val="center"/>
              <w:rPr>
                <w:sz w:val="18"/>
                <w:szCs w:val="18"/>
              </w:rPr>
            </w:pPr>
          </w:p>
        </w:tc>
        <w:tc>
          <w:tcPr>
            <w:tcW w:w="920" w:type="dxa"/>
            <w:shd w:val="clear" w:color="auto" w:fill="auto"/>
            <w:noWrap/>
            <w:vAlign w:val="center"/>
            <w:hideMark/>
          </w:tcPr>
          <w:p w14:paraId="6081DEC4" w14:textId="77777777" w:rsidR="006E0E50" w:rsidRPr="00C3102F" w:rsidRDefault="006E0E50" w:rsidP="003B2A4F">
            <w:pPr>
              <w:jc w:val="center"/>
              <w:rPr>
                <w:sz w:val="18"/>
                <w:szCs w:val="18"/>
              </w:rPr>
            </w:pPr>
          </w:p>
        </w:tc>
        <w:tc>
          <w:tcPr>
            <w:tcW w:w="960" w:type="dxa"/>
            <w:vAlign w:val="center"/>
          </w:tcPr>
          <w:p w14:paraId="714BDFA4" w14:textId="77777777" w:rsidR="006E0E50" w:rsidRPr="00C3102F" w:rsidRDefault="006E0E50" w:rsidP="003B2A4F">
            <w:pPr>
              <w:jc w:val="center"/>
              <w:rPr>
                <w:sz w:val="18"/>
                <w:szCs w:val="18"/>
              </w:rPr>
            </w:pPr>
          </w:p>
        </w:tc>
        <w:tc>
          <w:tcPr>
            <w:tcW w:w="960" w:type="dxa"/>
            <w:shd w:val="clear" w:color="auto" w:fill="auto"/>
            <w:noWrap/>
            <w:vAlign w:val="center"/>
            <w:hideMark/>
          </w:tcPr>
          <w:p w14:paraId="06CF79A3" w14:textId="77777777" w:rsidR="006E0E50" w:rsidRPr="00C3102F" w:rsidRDefault="006E0E50" w:rsidP="003B2A4F">
            <w:pPr>
              <w:jc w:val="center"/>
              <w:rPr>
                <w:sz w:val="18"/>
                <w:szCs w:val="18"/>
              </w:rPr>
            </w:pPr>
          </w:p>
        </w:tc>
        <w:tc>
          <w:tcPr>
            <w:tcW w:w="960" w:type="dxa"/>
            <w:shd w:val="clear" w:color="auto" w:fill="auto"/>
            <w:noWrap/>
            <w:vAlign w:val="center"/>
            <w:hideMark/>
          </w:tcPr>
          <w:p w14:paraId="607A1AC9" w14:textId="77777777" w:rsidR="006E0E50" w:rsidRPr="00C3102F" w:rsidRDefault="006E0E50" w:rsidP="003B2A4F">
            <w:pPr>
              <w:jc w:val="center"/>
              <w:rPr>
                <w:sz w:val="18"/>
                <w:szCs w:val="18"/>
              </w:rPr>
            </w:pPr>
          </w:p>
        </w:tc>
      </w:tr>
      <w:tr w:rsidR="006E0E50" w:rsidRPr="00C3102F" w14:paraId="6BE29EC6" w14:textId="77777777" w:rsidTr="006E0E50">
        <w:trPr>
          <w:trHeight w:val="255"/>
          <w:jc w:val="center"/>
        </w:trPr>
        <w:tc>
          <w:tcPr>
            <w:tcW w:w="3149" w:type="dxa"/>
            <w:shd w:val="clear" w:color="auto" w:fill="auto"/>
            <w:noWrap/>
            <w:vAlign w:val="bottom"/>
            <w:hideMark/>
          </w:tcPr>
          <w:p w14:paraId="2676626A" w14:textId="77777777" w:rsidR="006E0E50" w:rsidRPr="00C3102F" w:rsidRDefault="006E0E50" w:rsidP="003B2A4F">
            <w:pPr>
              <w:ind w:firstLineChars="100" w:firstLine="180"/>
              <w:rPr>
                <w:sz w:val="18"/>
                <w:szCs w:val="18"/>
              </w:rPr>
            </w:pPr>
            <w:r w:rsidRPr="00C3102F">
              <w:rPr>
                <w:sz w:val="18"/>
                <w:szCs w:val="18"/>
              </w:rPr>
              <w:t>Less than High School</w:t>
            </w:r>
          </w:p>
        </w:tc>
        <w:tc>
          <w:tcPr>
            <w:tcW w:w="960" w:type="dxa"/>
            <w:shd w:val="clear" w:color="auto" w:fill="auto"/>
            <w:noWrap/>
            <w:vAlign w:val="center"/>
            <w:hideMark/>
          </w:tcPr>
          <w:p w14:paraId="26AA3DD9" w14:textId="77777777" w:rsidR="006E0E50" w:rsidRPr="00C3102F" w:rsidRDefault="006E0E50" w:rsidP="003B2A4F">
            <w:pPr>
              <w:jc w:val="center"/>
              <w:rPr>
                <w:sz w:val="18"/>
                <w:szCs w:val="18"/>
              </w:rPr>
            </w:pPr>
            <w:r w:rsidRPr="00C3102F">
              <w:rPr>
                <w:sz w:val="18"/>
                <w:szCs w:val="18"/>
              </w:rPr>
              <w:t>25%</w:t>
            </w:r>
          </w:p>
        </w:tc>
        <w:tc>
          <w:tcPr>
            <w:tcW w:w="920" w:type="dxa"/>
            <w:shd w:val="clear" w:color="auto" w:fill="auto"/>
            <w:noWrap/>
            <w:vAlign w:val="center"/>
            <w:hideMark/>
          </w:tcPr>
          <w:p w14:paraId="6C13704B" w14:textId="77777777" w:rsidR="006E0E50" w:rsidRPr="00C3102F" w:rsidRDefault="006E0E50" w:rsidP="003B2A4F">
            <w:pPr>
              <w:jc w:val="center"/>
              <w:rPr>
                <w:sz w:val="18"/>
                <w:szCs w:val="18"/>
              </w:rPr>
            </w:pPr>
            <w:r w:rsidRPr="00C3102F">
              <w:rPr>
                <w:sz w:val="18"/>
                <w:szCs w:val="18"/>
              </w:rPr>
              <w:t>5</w:t>
            </w:r>
          </w:p>
        </w:tc>
        <w:tc>
          <w:tcPr>
            <w:tcW w:w="960" w:type="dxa"/>
            <w:vAlign w:val="center"/>
          </w:tcPr>
          <w:p w14:paraId="40C7CB82" w14:textId="77777777" w:rsidR="006E0E50" w:rsidRPr="00C3102F" w:rsidRDefault="006E0E50" w:rsidP="003B2A4F">
            <w:pPr>
              <w:jc w:val="center"/>
              <w:rPr>
                <w:sz w:val="18"/>
                <w:szCs w:val="18"/>
              </w:rPr>
            </w:pPr>
          </w:p>
        </w:tc>
        <w:tc>
          <w:tcPr>
            <w:tcW w:w="960" w:type="dxa"/>
            <w:shd w:val="clear" w:color="auto" w:fill="auto"/>
            <w:noWrap/>
            <w:vAlign w:val="center"/>
            <w:hideMark/>
          </w:tcPr>
          <w:p w14:paraId="4BD7012F" w14:textId="77777777" w:rsidR="006E0E50" w:rsidRPr="00C3102F" w:rsidRDefault="006E0E50" w:rsidP="003B2A4F">
            <w:pPr>
              <w:jc w:val="center"/>
              <w:rPr>
                <w:sz w:val="18"/>
                <w:szCs w:val="18"/>
              </w:rPr>
            </w:pPr>
          </w:p>
        </w:tc>
        <w:tc>
          <w:tcPr>
            <w:tcW w:w="960" w:type="dxa"/>
            <w:shd w:val="clear" w:color="auto" w:fill="auto"/>
            <w:noWrap/>
            <w:vAlign w:val="center"/>
            <w:hideMark/>
          </w:tcPr>
          <w:p w14:paraId="12554271" w14:textId="77777777" w:rsidR="006E0E50" w:rsidRPr="00C3102F" w:rsidRDefault="006E0E50" w:rsidP="003B2A4F">
            <w:pPr>
              <w:jc w:val="center"/>
              <w:rPr>
                <w:sz w:val="18"/>
                <w:szCs w:val="18"/>
              </w:rPr>
            </w:pPr>
          </w:p>
        </w:tc>
      </w:tr>
      <w:tr w:rsidR="006E0E50" w:rsidRPr="00C3102F" w14:paraId="56CBC88B" w14:textId="77777777" w:rsidTr="006E0E50">
        <w:trPr>
          <w:trHeight w:val="387"/>
          <w:jc w:val="center"/>
        </w:trPr>
        <w:tc>
          <w:tcPr>
            <w:tcW w:w="3149" w:type="dxa"/>
            <w:shd w:val="clear" w:color="auto" w:fill="auto"/>
            <w:noWrap/>
            <w:vAlign w:val="bottom"/>
            <w:hideMark/>
          </w:tcPr>
          <w:p w14:paraId="6FF1F4D5" w14:textId="77777777" w:rsidR="006E0E50" w:rsidRPr="00C3102F" w:rsidRDefault="006E0E50" w:rsidP="003B2A4F">
            <w:pPr>
              <w:ind w:firstLineChars="100" w:firstLine="180"/>
              <w:rPr>
                <w:sz w:val="18"/>
                <w:szCs w:val="18"/>
              </w:rPr>
            </w:pPr>
            <w:r w:rsidRPr="00C3102F">
              <w:rPr>
                <w:sz w:val="18"/>
                <w:szCs w:val="18"/>
              </w:rPr>
              <w:t>High School</w:t>
            </w:r>
          </w:p>
        </w:tc>
        <w:tc>
          <w:tcPr>
            <w:tcW w:w="960" w:type="dxa"/>
            <w:shd w:val="clear" w:color="auto" w:fill="auto"/>
            <w:noWrap/>
            <w:vAlign w:val="center"/>
            <w:hideMark/>
          </w:tcPr>
          <w:p w14:paraId="304A8697" w14:textId="77777777" w:rsidR="006E0E50" w:rsidRPr="00C3102F" w:rsidRDefault="006E0E50" w:rsidP="003B2A4F">
            <w:pPr>
              <w:jc w:val="center"/>
              <w:rPr>
                <w:sz w:val="18"/>
                <w:szCs w:val="18"/>
              </w:rPr>
            </w:pPr>
            <w:r w:rsidRPr="00C3102F">
              <w:rPr>
                <w:sz w:val="18"/>
                <w:szCs w:val="18"/>
              </w:rPr>
              <w:t>20%</w:t>
            </w:r>
          </w:p>
        </w:tc>
        <w:tc>
          <w:tcPr>
            <w:tcW w:w="920" w:type="dxa"/>
            <w:shd w:val="clear" w:color="auto" w:fill="auto"/>
            <w:noWrap/>
            <w:vAlign w:val="center"/>
            <w:hideMark/>
          </w:tcPr>
          <w:p w14:paraId="361A2865" w14:textId="77777777" w:rsidR="006E0E50" w:rsidRPr="00C3102F" w:rsidRDefault="006E0E50" w:rsidP="003B2A4F">
            <w:pPr>
              <w:jc w:val="center"/>
              <w:rPr>
                <w:sz w:val="18"/>
                <w:szCs w:val="18"/>
              </w:rPr>
            </w:pPr>
            <w:r w:rsidRPr="00C3102F">
              <w:rPr>
                <w:sz w:val="18"/>
                <w:szCs w:val="18"/>
              </w:rPr>
              <w:t>4</w:t>
            </w:r>
          </w:p>
        </w:tc>
        <w:tc>
          <w:tcPr>
            <w:tcW w:w="960" w:type="dxa"/>
            <w:vAlign w:val="center"/>
          </w:tcPr>
          <w:p w14:paraId="248C86DB" w14:textId="77777777" w:rsidR="006E0E50" w:rsidRPr="00C3102F" w:rsidRDefault="006E0E50" w:rsidP="003B2A4F">
            <w:pPr>
              <w:jc w:val="center"/>
              <w:rPr>
                <w:sz w:val="18"/>
                <w:szCs w:val="18"/>
              </w:rPr>
            </w:pPr>
          </w:p>
        </w:tc>
        <w:tc>
          <w:tcPr>
            <w:tcW w:w="960" w:type="dxa"/>
            <w:shd w:val="clear" w:color="auto" w:fill="auto"/>
            <w:noWrap/>
            <w:vAlign w:val="center"/>
            <w:hideMark/>
          </w:tcPr>
          <w:p w14:paraId="3E1E4312" w14:textId="77777777" w:rsidR="006E0E50" w:rsidRPr="00C3102F" w:rsidRDefault="006E0E50" w:rsidP="003B2A4F">
            <w:pPr>
              <w:jc w:val="center"/>
              <w:rPr>
                <w:sz w:val="18"/>
                <w:szCs w:val="18"/>
              </w:rPr>
            </w:pPr>
          </w:p>
        </w:tc>
        <w:tc>
          <w:tcPr>
            <w:tcW w:w="960" w:type="dxa"/>
            <w:shd w:val="clear" w:color="auto" w:fill="auto"/>
            <w:noWrap/>
            <w:vAlign w:val="center"/>
            <w:hideMark/>
          </w:tcPr>
          <w:p w14:paraId="29FFD644" w14:textId="77777777" w:rsidR="006E0E50" w:rsidRPr="00C3102F" w:rsidRDefault="006E0E50" w:rsidP="003B2A4F">
            <w:pPr>
              <w:jc w:val="center"/>
              <w:rPr>
                <w:sz w:val="18"/>
                <w:szCs w:val="18"/>
              </w:rPr>
            </w:pPr>
          </w:p>
        </w:tc>
      </w:tr>
      <w:tr w:rsidR="006E0E50" w:rsidRPr="00C3102F" w14:paraId="640A85E2" w14:textId="77777777" w:rsidTr="006E0E50">
        <w:trPr>
          <w:trHeight w:val="255"/>
          <w:jc w:val="center"/>
        </w:trPr>
        <w:tc>
          <w:tcPr>
            <w:tcW w:w="3149" w:type="dxa"/>
            <w:shd w:val="clear" w:color="auto" w:fill="auto"/>
            <w:noWrap/>
            <w:vAlign w:val="bottom"/>
            <w:hideMark/>
          </w:tcPr>
          <w:p w14:paraId="62D94E2B" w14:textId="77777777" w:rsidR="006E0E50" w:rsidRPr="00C3102F" w:rsidRDefault="006E0E50" w:rsidP="003B2A4F">
            <w:pPr>
              <w:ind w:firstLineChars="100" w:firstLine="180"/>
              <w:rPr>
                <w:sz w:val="18"/>
                <w:szCs w:val="18"/>
              </w:rPr>
            </w:pPr>
            <w:r w:rsidRPr="00C3102F">
              <w:rPr>
                <w:sz w:val="18"/>
                <w:szCs w:val="18"/>
              </w:rPr>
              <w:t>Some college/degree</w:t>
            </w:r>
          </w:p>
        </w:tc>
        <w:tc>
          <w:tcPr>
            <w:tcW w:w="960" w:type="dxa"/>
            <w:shd w:val="clear" w:color="auto" w:fill="auto"/>
            <w:noWrap/>
            <w:vAlign w:val="center"/>
            <w:hideMark/>
          </w:tcPr>
          <w:p w14:paraId="4598A103" w14:textId="77777777" w:rsidR="006E0E50" w:rsidRPr="00C3102F" w:rsidRDefault="006E0E50" w:rsidP="003B2A4F">
            <w:pPr>
              <w:jc w:val="center"/>
              <w:rPr>
                <w:sz w:val="18"/>
                <w:szCs w:val="18"/>
              </w:rPr>
            </w:pPr>
            <w:r w:rsidRPr="00C3102F">
              <w:rPr>
                <w:sz w:val="18"/>
                <w:szCs w:val="18"/>
              </w:rPr>
              <w:t>55%</w:t>
            </w:r>
          </w:p>
        </w:tc>
        <w:tc>
          <w:tcPr>
            <w:tcW w:w="920" w:type="dxa"/>
            <w:shd w:val="clear" w:color="auto" w:fill="auto"/>
            <w:noWrap/>
            <w:vAlign w:val="center"/>
            <w:hideMark/>
          </w:tcPr>
          <w:p w14:paraId="0B65BE52" w14:textId="77777777" w:rsidR="006E0E50" w:rsidRPr="00C3102F" w:rsidRDefault="006E0E50" w:rsidP="003B2A4F">
            <w:pPr>
              <w:jc w:val="center"/>
              <w:rPr>
                <w:sz w:val="18"/>
                <w:szCs w:val="18"/>
              </w:rPr>
            </w:pPr>
            <w:r w:rsidRPr="00C3102F">
              <w:rPr>
                <w:sz w:val="18"/>
                <w:szCs w:val="18"/>
              </w:rPr>
              <w:t>11</w:t>
            </w:r>
          </w:p>
        </w:tc>
        <w:tc>
          <w:tcPr>
            <w:tcW w:w="960" w:type="dxa"/>
            <w:vAlign w:val="center"/>
          </w:tcPr>
          <w:p w14:paraId="5942F52D" w14:textId="77777777" w:rsidR="006E0E50" w:rsidRPr="00C3102F" w:rsidRDefault="006E0E50" w:rsidP="003B2A4F">
            <w:pPr>
              <w:jc w:val="center"/>
              <w:rPr>
                <w:sz w:val="18"/>
                <w:szCs w:val="18"/>
              </w:rPr>
            </w:pPr>
          </w:p>
        </w:tc>
        <w:tc>
          <w:tcPr>
            <w:tcW w:w="960" w:type="dxa"/>
            <w:shd w:val="clear" w:color="auto" w:fill="auto"/>
            <w:noWrap/>
            <w:vAlign w:val="center"/>
            <w:hideMark/>
          </w:tcPr>
          <w:p w14:paraId="78C4B1AF" w14:textId="77777777" w:rsidR="006E0E50" w:rsidRPr="00C3102F" w:rsidRDefault="006E0E50" w:rsidP="003B2A4F">
            <w:pPr>
              <w:jc w:val="center"/>
              <w:rPr>
                <w:sz w:val="18"/>
                <w:szCs w:val="18"/>
              </w:rPr>
            </w:pPr>
          </w:p>
        </w:tc>
        <w:tc>
          <w:tcPr>
            <w:tcW w:w="960" w:type="dxa"/>
            <w:shd w:val="clear" w:color="auto" w:fill="auto"/>
            <w:noWrap/>
            <w:vAlign w:val="center"/>
            <w:hideMark/>
          </w:tcPr>
          <w:p w14:paraId="2CE18DD2" w14:textId="77777777" w:rsidR="006E0E50" w:rsidRPr="00C3102F" w:rsidRDefault="006E0E50" w:rsidP="003B2A4F">
            <w:pPr>
              <w:jc w:val="center"/>
              <w:rPr>
                <w:sz w:val="18"/>
                <w:szCs w:val="18"/>
              </w:rPr>
            </w:pPr>
          </w:p>
        </w:tc>
      </w:tr>
      <w:tr w:rsidR="006E0E50" w:rsidRPr="00C3102F" w14:paraId="1AC3FBF3" w14:textId="77777777" w:rsidTr="006E0E50">
        <w:trPr>
          <w:trHeight w:val="255"/>
          <w:jc w:val="center"/>
        </w:trPr>
        <w:tc>
          <w:tcPr>
            <w:tcW w:w="3149" w:type="dxa"/>
            <w:shd w:val="clear" w:color="auto" w:fill="auto"/>
            <w:noWrap/>
            <w:vAlign w:val="bottom"/>
            <w:hideMark/>
          </w:tcPr>
          <w:p w14:paraId="02BF0BB8" w14:textId="77777777" w:rsidR="006E0E50" w:rsidRPr="00C3102F" w:rsidRDefault="006E0E50" w:rsidP="003B2A4F">
            <w:pPr>
              <w:rPr>
                <w:sz w:val="18"/>
                <w:szCs w:val="18"/>
              </w:rPr>
            </w:pPr>
            <w:r w:rsidRPr="00C3102F">
              <w:rPr>
                <w:sz w:val="18"/>
                <w:szCs w:val="18"/>
              </w:rPr>
              <w:t>Years in the U.S.</w:t>
            </w:r>
          </w:p>
        </w:tc>
        <w:tc>
          <w:tcPr>
            <w:tcW w:w="960" w:type="dxa"/>
            <w:shd w:val="clear" w:color="auto" w:fill="auto"/>
            <w:noWrap/>
            <w:vAlign w:val="center"/>
            <w:hideMark/>
          </w:tcPr>
          <w:p w14:paraId="7631326F" w14:textId="77777777" w:rsidR="006E0E50" w:rsidRPr="00C3102F" w:rsidRDefault="006E0E50" w:rsidP="003B2A4F">
            <w:pPr>
              <w:jc w:val="center"/>
              <w:rPr>
                <w:sz w:val="18"/>
                <w:szCs w:val="18"/>
              </w:rPr>
            </w:pPr>
          </w:p>
        </w:tc>
        <w:tc>
          <w:tcPr>
            <w:tcW w:w="920" w:type="dxa"/>
            <w:shd w:val="clear" w:color="auto" w:fill="auto"/>
            <w:noWrap/>
            <w:vAlign w:val="center"/>
            <w:hideMark/>
          </w:tcPr>
          <w:p w14:paraId="5868CD0D" w14:textId="77777777" w:rsidR="006E0E50" w:rsidRPr="00C3102F" w:rsidRDefault="006E0E50" w:rsidP="003B2A4F">
            <w:pPr>
              <w:jc w:val="center"/>
              <w:rPr>
                <w:sz w:val="18"/>
                <w:szCs w:val="18"/>
              </w:rPr>
            </w:pPr>
            <w:r w:rsidRPr="00C3102F">
              <w:rPr>
                <w:sz w:val="18"/>
                <w:szCs w:val="18"/>
              </w:rPr>
              <w:t>20</w:t>
            </w:r>
          </w:p>
        </w:tc>
        <w:tc>
          <w:tcPr>
            <w:tcW w:w="960" w:type="dxa"/>
            <w:vAlign w:val="center"/>
          </w:tcPr>
          <w:p w14:paraId="478F5EE3" w14:textId="77777777" w:rsidR="006E0E50" w:rsidRPr="00C3102F" w:rsidRDefault="006E0E50" w:rsidP="003B2A4F">
            <w:pPr>
              <w:jc w:val="center"/>
              <w:rPr>
                <w:sz w:val="18"/>
                <w:szCs w:val="18"/>
              </w:rPr>
            </w:pPr>
            <w:r w:rsidRPr="00C3102F">
              <w:rPr>
                <w:sz w:val="18"/>
                <w:szCs w:val="18"/>
              </w:rPr>
              <w:t>8.225</w:t>
            </w:r>
          </w:p>
        </w:tc>
        <w:tc>
          <w:tcPr>
            <w:tcW w:w="960" w:type="dxa"/>
            <w:shd w:val="clear" w:color="auto" w:fill="auto"/>
            <w:noWrap/>
            <w:vAlign w:val="center"/>
            <w:hideMark/>
          </w:tcPr>
          <w:p w14:paraId="62380B45" w14:textId="77777777" w:rsidR="006E0E50" w:rsidRPr="00C3102F" w:rsidRDefault="006E0E50" w:rsidP="003B2A4F">
            <w:pPr>
              <w:jc w:val="center"/>
              <w:rPr>
                <w:sz w:val="18"/>
                <w:szCs w:val="18"/>
              </w:rPr>
            </w:pPr>
            <w:r w:rsidRPr="00C3102F">
              <w:rPr>
                <w:sz w:val="18"/>
                <w:szCs w:val="18"/>
              </w:rPr>
              <w:t>5.14</w:t>
            </w:r>
          </w:p>
        </w:tc>
        <w:tc>
          <w:tcPr>
            <w:tcW w:w="960" w:type="dxa"/>
            <w:shd w:val="clear" w:color="auto" w:fill="auto"/>
            <w:noWrap/>
            <w:vAlign w:val="center"/>
            <w:hideMark/>
          </w:tcPr>
          <w:p w14:paraId="1B1549FC" w14:textId="77777777" w:rsidR="006E0E50" w:rsidRPr="00C3102F" w:rsidRDefault="006E0E50" w:rsidP="003B2A4F">
            <w:pPr>
              <w:jc w:val="center"/>
              <w:rPr>
                <w:sz w:val="18"/>
                <w:szCs w:val="18"/>
              </w:rPr>
            </w:pPr>
            <w:r w:rsidRPr="00C3102F">
              <w:rPr>
                <w:sz w:val="18"/>
                <w:szCs w:val="18"/>
              </w:rPr>
              <w:t>1.5-20</w:t>
            </w:r>
          </w:p>
        </w:tc>
      </w:tr>
      <w:tr w:rsidR="006E0E50" w:rsidRPr="00C3102F" w14:paraId="1146DAC2" w14:textId="77777777" w:rsidTr="006E0E50">
        <w:trPr>
          <w:trHeight w:val="255"/>
          <w:jc w:val="center"/>
        </w:trPr>
        <w:tc>
          <w:tcPr>
            <w:tcW w:w="3149" w:type="dxa"/>
            <w:shd w:val="clear" w:color="auto" w:fill="auto"/>
            <w:noWrap/>
            <w:vAlign w:val="bottom"/>
            <w:hideMark/>
          </w:tcPr>
          <w:p w14:paraId="6BA563FA" w14:textId="77777777" w:rsidR="006E0E50" w:rsidRPr="00C3102F" w:rsidRDefault="006E0E50" w:rsidP="003B2A4F">
            <w:pPr>
              <w:rPr>
                <w:sz w:val="18"/>
                <w:szCs w:val="18"/>
              </w:rPr>
            </w:pPr>
            <w:r w:rsidRPr="00C3102F">
              <w:rPr>
                <w:sz w:val="18"/>
                <w:szCs w:val="18"/>
              </w:rPr>
              <w:t>Years in the city/county</w:t>
            </w:r>
          </w:p>
        </w:tc>
        <w:tc>
          <w:tcPr>
            <w:tcW w:w="960" w:type="dxa"/>
            <w:shd w:val="clear" w:color="auto" w:fill="auto"/>
            <w:noWrap/>
            <w:vAlign w:val="center"/>
            <w:hideMark/>
          </w:tcPr>
          <w:p w14:paraId="42F971B2" w14:textId="77777777" w:rsidR="006E0E50" w:rsidRPr="00C3102F" w:rsidRDefault="006E0E50" w:rsidP="003B2A4F">
            <w:pPr>
              <w:jc w:val="center"/>
              <w:rPr>
                <w:sz w:val="18"/>
                <w:szCs w:val="18"/>
              </w:rPr>
            </w:pPr>
          </w:p>
        </w:tc>
        <w:tc>
          <w:tcPr>
            <w:tcW w:w="920" w:type="dxa"/>
            <w:shd w:val="clear" w:color="auto" w:fill="auto"/>
            <w:noWrap/>
            <w:vAlign w:val="center"/>
            <w:hideMark/>
          </w:tcPr>
          <w:p w14:paraId="768B8783" w14:textId="77777777" w:rsidR="006E0E50" w:rsidRPr="00C3102F" w:rsidRDefault="006E0E50" w:rsidP="003B2A4F">
            <w:pPr>
              <w:jc w:val="center"/>
              <w:rPr>
                <w:sz w:val="18"/>
                <w:szCs w:val="18"/>
              </w:rPr>
            </w:pPr>
            <w:r w:rsidRPr="00C3102F">
              <w:rPr>
                <w:sz w:val="18"/>
                <w:szCs w:val="18"/>
              </w:rPr>
              <w:t>20</w:t>
            </w:r>
          </w:p>
        </w:tc>
        <w:tc>
          <w:tcPr>
            <w:tcW w:w="960" w:type="dxa"/>
            <w:vAlign w:val="center"/>
          </w:tcPr>
          <w:p w14:paraId="61DAA23A" w14:textId="77777777" w:rsidR="006E0E50" w:rsidRPr="00C3102F" w:rsidRDefault="006E0E50" w:rsidP="003B2A4F">
            <w:pPr>
              <w:jc w:val="center"/>
              <w:rPr>
                <w:sz w:val="18"/>
                <w:szCs w:val="18"/>
              </w:rPr>
            </w:pPr>
            <w:r w:rsidRPr="00C3102F">
              <w:rPr>
                <w:sz w:val="18"/>
                <w:szCs w:val="18"/>
              </w:rPr>
              <w:t>6.15</w:t>
            </w:r>
          </w:p>
        </w:tc>
        <w:tc>
          <w:tcPr>
            <w:tcW w:w="960" w:type="dxa"/>
            <w:shd w:val="clear" w:color="auto" w:fill="auto"/>
            <w:noWrap/>
            <w:vAlign w:val="center"/>
            <w:hideMark/>
          </w:tcPr>
          <w:p w14:paraId="1B8E6BCE" w14:textId="77777777" w:rsidR="006E0E50" w:rsidRPr="00C3102F" w:rsidRDefault="006E0E50" w:rsidP="003B2A4F">
            <w:pPr>
              <w:jc w:val="center"/>
              <w:rPr>
                <w:sz w:val="18"/>
                <w:szCs w:val="18"/>
              </w:rPr>
            </w:pPr>
            <w:r w:rsidRPr="00C3102F">
              <w:rPr>
                <w:sz w:val="18"/>
                <w:szCs w:val="18"/>
              </w:rPr>
              <w:t>3.25</w:t>
            </w:r>
          </w:p>
        </w:tc>
        <w:tc>
          <w:tcPr>
            <w:tcW w:w="960" w:type="dxa"/>
            <w:shd w:val="clear" w:color="auto" w:fill="auto"/>
            <w:noWrap/>
            <w:vAlign w:val="center"/>
            <w:hideMark/>
          </w:tcPr>
          <w:p w14:paraId="41CA846B" w14:textId="77777777" w:rsidR="006E0E50" w:rsidRPr="00C3102F" w:rsidRDefault="006E0E50" w:rsidP="003B2A4F">
            <w:pPr>
              <w:jc w:val="center"/>
              <w:rPr>
                <w:sz w:val="18"/>
                <w:szCs w:val="18"/>
              </w:rPr>
            </w:pPr>
            <w:r w:rsidRPr="00C3102F">
              <w:rPr>
                <w:sz w:val="18"/>
                <w:szCs w:val="18"/>
              </w:rPr>
              <w:t>1-11</w:t>
            </w:r>
          </w:p>
        </w:tc>
      </w:tr>
      <w:tr w:rsidR="006E0E50" w:rsidRPr="00C3102F" w14:paraId="639FD61E" w14:textId="77777777" w:rsidTr="006E0E50">
        <w:trPr>
          <w:trHeight w:val="255"/>
          <w:jc w:val="center"/>
        </w:trPr>
        <w:tc>
          <w:tcPr>
            <w:tcW w:w="3149" w:type="dxa"/>
            <w:shd w:val="clear" w:color="auto" w:fill="auto"/>
            <w:noWrap/>
            <w:vAlign w:val="bottom"/>
          </w:tcPr>
          <w:p w14:paraId="66430ECE" w14:textId="77777777" w:rsidR="006E0E50" w:rsidRPr="00C3102F" w:rsidRDefault="006E0E50" w:rsidP="003B2A4F">
            <w:pPr>
              <w:rPr>
                <w:sz w:val="18"/>
                <w:szCs w:val="18"/>
              </w:rPr>
            </w:pPr>
            <w:r w:rsidRPr="00C3102F">
              <w:rPr>
                <w:sz w:val="18"/>
                <w:szCs w:val="18"/>
              </w:rPr>
              <w:t>Country of origin</w:t>
            </w:r>
          </w:p>
          <w:p w14:paraId="359BD5DE" w14:textId="77777777" w:rsidR="006E0E50" w:rsidRPr="00C3102F" w:rsidRDefault="006E0E50" w:rsidP="003B2A4F">
            <w:pPr>
              <w:rPr>
                <w:sz w:val="18"/>
                <w:szCs w:val="18"/>
              </w:rPr>
            </w:pPr>
            <w:r w:rsidRPr="00C3102F">
              <w:rPr>
                <w:sz w:val="18"/>
                <w:szCs w:val="18"/>
              </w:rPr>
              <w:t xml:space="preserve">   Mexico</w:t>
            </w:r>
          </w:p>
        </w:tc>
        <w:tc>
          <w:tcPr>
            <w:tcW w:w="960" w:type="dxa"/>
            <w:shd w:val="clear" w:color="auto" w:fill="auto"/>
            <w:noWrap/>
            <w:vAlign w:val="center"/>
          </w:tcPr>
          <w:p w14:paraId="3668881B" w14:textId="77777777" w:rsidR="006E0E50" w:rsidRPr="00C3102F" w:rsidRDefault="006E0E50" w:rsidP="003B2A4F">
            <w:pPr>
              <w:jc w:val="center"/>
              <w:rPr>
                <w:sz w:val="18"/>
                <w:szCs w:val="18"/>
              </w:rPr>
            </w:pPr>
            <w:r w:rsidRPr="00C3102F">
              <w:rPr>
                <w:sz w:val="18"/>
                <w:szCs w:val="18"/>
              </w:rPr>
              <w:t>85%</w:t>
            </w:r>
          </w:p>
        </w:tc>
        <w:tc>
          <w:tcPr>
            <w:tcW w:w="920" w:type="dxa"/>
            <w:shd w:val="clear" w:color="auto" w:fill="auto"/>
            <w:noWrap/>
            <w:vAlign w:val="center"/>
          </w:tcPr>
          <w:p w14:paraId="633A4135" w14:textId="77777777" w:rsidR="006E0E50" w:rsidRPr="00C3102F" w:rsidRDefault="006E0E50" w:rsidP="003B2A4F">
            <w:pPr>
              <w:jc w:val="center"/>
              <w:rPr>
                <w:sz w:val="18"/>
                <w:szCs w:val="18"/>
              </w:rPr>
            </w:pPr>
            <w:r w:rsidRPr="00C3102F">
              <w:rPr>
                <w:sz w:val="18"/>
                <w:szCs w:val="18"/>
              </w:rPr>
              <w:t>17</w:t>
            </w:r>
          </w:p>
        </w:tc>
        <w:tc>
          <w:tcPr>
            <w:tcW w:w="960" w:type="dxa"/>
            <w:vAlign w:val="center"/>
          </w:tcPr>
          <w:p w14:paraId="4CE48072" w14:textId="77777777" w:rsidR="006E0E50" w:rsidRPr="00C3102F" w:rsidRDefault="006E0E50" w:rsidP="003B2A4F">
            <w:pPr>
              <w:jc w:val="center"/>
              <w:rPr>
                <w:sz w:val="18"/>
                <w:szCs w:val="18"/>
              </w:rPr>
            </w:pPr>
          </w:p>
        </w:tc>
        <w:tc>
          <w:tcPr>
            <w:tcW w:w="960" w:type="dxa"/>
            <w:shd w:val="clear" w:color="auto" w:fill="auto"/>
            <w:noWrap/>
            <w:vAlign w:val="center"/>
          </w:tcPr>
          <w:p w14:paraId="7520685B" w14:textId="77777777" w:rsidR="006E0E50" w:rsidRPr="00C3102F" w:rsidRDefault="006E0E50" w:rsidP="003B2A4F">
            <w:pPr>
              <w:jc w:val="center"/>
              <w:rPr>
                <w:sz w:val="18"/>
                <w:szCs w:val="18"/>
              </w:rPr>
            </w:pPr>
          </w:p>
        </w:tc>
        <w:tc>
          <w:tcPr>
            <w:tcW w:w="960" w:type="dxa"/>
            <w:shd w:val="clear" w:color="auto" w:fill="auto"/>
            <w:noWrap/>
            <w:vAlign w:val="center"/>
          </w:tcPr>
          <w:p w14:paraId="77506E2E" w14:textId="77777777" w:rsidR="006E0E50" w:rsidRPr="00C3102F" w:rsidRDefault="006E0E50" w:rsidP="003B2A4F">
            <w:pPr>
              <w:jc w:val="center"/>
              <w:rPr>
                <w:sz w:val="18"/>
                <w:szCs w:val="18"/>
              </w:rPr>
            </w:pPr>
          </w:p>
        </w:tc>
      </w:tr>
      <w:tr w:rsidR="006E0E50" w:rsidRPr="00C3102F" w14:paraId="00C4DDAE" w14:textId="77777777" w:rsidTr="006E0E50">
        <w:trPr>
          <w:trHeight w:val="255"/>
          <w:jc w:val="center"/>
        </w:trPr>
        <w:tc>
          <w:tcPr>
            <w:tcW w:w="3149" w:type="dxa"/>
            <w:shd w:val="clear" w:color="auto" w:fill="auto"/>
            <w:noWrap/>
            <w:vAlign w:val="bottom"/>
            <w:hideMark/>
          </w:tcPr>
          <w:p w14:paraId="05E61D09" w14:textId="77777777" w:rsidR="006E0E50" w:rsidRPr="00C3102F" w:rsidRDefault="006E0E50" w:rsidP="003B2A4F">
            <w:pPr>
              <w:rPr>
                <w:sz w:val="18"/>
                <w:szCs w:val="18"/>
              </w:rPr>
            </w:pPr>
            <w:r w:rsidRPr="00C3102F">
              <w:rPr>
                <w:sz w:val="18"/>
                <w:szCs w:val="18"/>
              </w:rPr>
              <w:t>Currently in school</w:t>
            </w:r>
          </w:p>
        </w:tc>
        <w:tc>
          <w:tcPr>
            <w:tcW w:w="960" w:type="dxa"/>
            <w:shd w:val="clear" w:color="auto" w:fill="auto"/>
            <w:noWrap/>
            <w:vAlign w:val="center"/>
            <w:hideMark/>
          </w:tcPr>
          <w:p w14:paraId="67F49777" w14:textId="77777777" w:rsidR="006E0E50" w:rsidRPr="00C3102F" w:rsidRDefault="006E0E50" w:rsidP="003B2A4F">
            <w:pPr>
              <w:jc w:val="center"/>
              <w:rPr>
                <w:sz w:val="18"/>
                <w:szCs w:val="18"/>
              </w:rPr>
            </w:pPr>
            <w:r w:rsidRPr="00C3102F">
              <w:rPr>
                <w:sz w:val="18"/>
                <w:szCs w:val="18"/>
              </w:rPr>
              <w:t>55%</w:t>
            </w:r>
          </w:p>
        </w:tc>
        <w:tc>
          <w:tcPr>
            <w:tcW w:w="920" w:type="dxa"/>
            <w:shd w:val="clear" w:color="auto" w:fill="auto"/>
            <w:noWrap/>
            <w:vAlign w:val="center"/>
            <w:hideMark/>
          </w:tcPr>
          <w:p w14:paraId="2D63AF16" w14:textId="77777777" w:rsidR="006E0E50" w:rsidRPr="00C3102F" w:rsidRDefault="006E0E50" w:rsidP="003B2A4F">
            <w:pPr>
              <w:jc w:val="center"/>
              <w:rPr>
                <w:sz w:val="18"/>
                <w:szCs w:val="18"/>
              </w:rPr>
            </w:pPr>
            <w:r w:rsidRPr="00C3102F">
              <w:rPr>
                <w:sz w:val="18"/>
                <w:szCs w:val="18"/>
              </w:rPr>
              <w:t>11</w:t>
            </w:r>
          </w:p>
        </w:tc>
        <w:tc>
          <w:tcPr>
            <w:tcW w:w="960" w:type="dxa"/>
            <w:vAlign w:val="center"/>
          </w:tcPr>
          <w:p w14:paraId="6440A652" w14:textId="77777777" w:rsidR="006E0E50" w:rsidRPr="00C3102F" w:rsidRDefault="006E0E50" w:rsidP="003B2A4F">
            <w:pPr>
              <w:jc w:val="center"/>
              <w:rPr>
                <w:sz w:val="18"/>
                <w:szCs w:val="18"/>
              </w:rPr>
            </w:pPr>
          </w:p>
        </w:tc>
        <w:tc>
          <w:tcPr>
            <w:tcW w:w="960" w:type="dxa"/>
            <w:shd w:val="clear" w:color="auto" w:fill="auto"/>
            <w:noWrap/>
            <w:vAlign w:val="center"/>
            <w:hideMark/>
          </w:tcPr>
          <w:p w14:paraId="1F3994FF" w14:textId="77777777" w:rsidR="006E0E50" w:rsidRPr="00C3102F" w:rsidRDefault="006E0E50" w:rsidP="003B2A4F">
            <w:pPr>
              <w:jc w:val="center"/>
              <w:rPr>
                <w:sz w:val="18"/>
                <w:szCs w:val="18"/>
              </w:rPr>
            </w:pPr>
          </w:p>
        </w:tc>
        <w:tc>
          <w:tcPr>
            <w:tcW w:w="960" w:type="dxa"/>
            <w:shd w:val="clear" w:color="auto" w:fill="auto"/>
            <w:noWrap/>
            <w:vAlign w:val="center"/>
            <w:hideMark/>
          </w:tcPr>
          <w:p w14:paraId="7F15C21D" w14:textId="77777777" w:rsidR="006E0E50" w:rsidRPr="00C3102F" w:rsidRDefault="006E0E50" w:rsidP="003B2A4F">
            <w:pPr>
              <w:jc w:val="center"/>
              <w:rPr>
                <w:sz w:val="18"/>
                <w:szCs w:val="18"/>
              </w:rPr>
            </w:pPr>
          </w:p>
        </w:tc>
      </w:tr>
      <w:tr w:rsidR="006E0E50" w:rsidRPr="00C3102F" w14:paraId="453780EC" w14:textId="77777777" w:rsidTr="006E0E50">
        <w:trPr>
          <w:trHeight w:val="255"/>
          <w:jc w:val="center"/>
        </w:trPr>
        <w:tc>
          <w:tcPr>
            <w:tcW w:w="3149" w:type="dxa"/>
            <w:shd w:val="clear" w:color="auto" w:fill="auto"/>
            <w:noWrap/>
            <w:vAlign w:val="bottom"/>
            <w:hideMark/>
          </w:tcPr>
          <w:p w14:paraId="1B791B87" w14:textId="77777777" w:rsidR="006E0E50" w:rsidRPr="00C3102F" w:rsidRDefault="006E0E50" w:rsidP="003B2A4F">
            <w:pPr>
              <w:rPr>
                <w:sz w:val="18"/>
                <w:szCs w:val="18"/>
              </w:rPr>
            </w:pPr>
            <w:r w:rsidRPr="00C3102F">
              <w:rPr>
                <w:sz w:val="18"/>
                <w:szCs w:val="18"/>
              </w:rPr>
              <w:t>Employed Full Time</w:t>
            </w:r>
          </w:p>
        </w:tc>
        <w:tc>
          <w:tcPr>
            <w:tcW w:w="960" w:type="dxa"/>
            <w:shd w:val="clear" w:color="auto" w:fill="auto"/>
            <w:noWrap/>
            <w:vAlign w:val="center"/>
            <w:hideMark/>
          </w:tcPr>
          <w:p w14:paraId="1021D02E" w14:textId="77777777" w:rsidR="006E0E50" w:rsidRPr="00C3102F" w:rsidRDefault="006E0E50" w:rsidP="003B2A4F">
            <w:pPr>
              <w:jc w:val="center"/>
              <w:rPr>
                <w:sz w:val="18"/>
                <w:szCs w:val="18"/>
              </w:rPr>
            </w:pPr>
            <w:r w:rsidRPr="00C3102F">
              <w:rPr>
                <w:sz w:val="18"/>
                <w:szCs w:val="18"/>
              </w:rPr>
              <w:t>40%</w:t>
            </w:r>
          </w:p>
        </w:tc>
        <w:tc>
          <w:tcPr>
            <w:tcW w:w="920" w:type="dxa"/>
            <w:shd w:val="clear" w:color="auto" w:fill="auto"/>
            <w:noWrap/>
            <w:vAlign w:val="center"/>
            <w:hideMark/>
          </w:tcPr>
          <w:p w14:paraId="7C3C3449" w14:textId="77777777" w:rsidR="006E0E50" w:rsidRPr="00C3102F" w:rsidRDefault="006E0E50" w:rsidP="003B2A4F">
            <w:pPr>
              <w:jc w:val="center"/>
              <w:rPr>
                <w:sz w:val="18"/>
                <w:szCs w:val="18"/>
              </w:rPr>
            </w:pPr>
            <w:r w:rsidRPr="00C3102F">
              <w:rPr>
                <w:sz w:val="18"/>
                <w:szCs w:val="18"/>
              </w:rPr>
              <w:t>8</w:t>
            </w:r>
          </w:p>
        </w:tc>
        <w:tc>
          <w:tcPr>
            <w:tcW w:w="960" w:type="dxa"/>
            <w:vAlign w:val="center"/>
          </w:tcPr>
          <w:p w14:paraId="2CAEC63A" w14:textId="77777777" w:rsidR="006E0E50" w:rsidRPr="00C3102F" w:rsidRDefault="006E0E50" w:rsidP="003B2A4F">
            <w:pPr>
              <w:jc w:val="center"/>
              <w:rPr>
                <w:sz w:val="18"/>
                <w:szCs w:val="18"/>
              </w:rPr>
            </w:pPr>
          </w:p>
        </w:tc>
        <w:tc>
          <w:tcPr>
            <w:tcW w:w="960" w:type="dxa"/>
            <w:shd w:val="clear" w:color="auto" w:fill="auto"/>
            <w:noWrap/>
            <w:vAlign w:val="center"/>
            <w:hideMark/>
          </w:tcPr>
          <w:p w14:paraId="47F757F1" w14:textId="77777777" w:rsidR="006E0E50" w:rsidRPr="00C3102F" w:rsidRDefault="006E0E50" w:rsidP="003B2A4F">
            <w:pPr>
              <w:jc w:val="center"/>
              <w:rPr>
                <w:sz w:val="18"/>
                <w:szCs w:val="18"/>
              </w:rPr>
            </w:pPr>
          </w:p>
        </w:tc>
        <w:tc>
          <w:tcPr>
            <w:tcW w:w="960" w:type="dxa"/>
            <w:shd w:val="clear" w:color="auto" w:fill="auto"/>
            <w:noWrap/>
            <w:vAlign w:val="center"/>
            <w:hideMark/>
          </w:tcPr>
          <w:p w14:paraId="76F58D37" w14:textId="77777777" w:rsidR="006E0E50" w:rsidRPr="00C3102F" w:rsidRDefault="006E0E50" w:rsidP="003B2A4F">
            <w:pPr>
              <w:jc w:val="center"/>
              <w:rPr>
                <w:sz w:val="18"/>
                <w:szCs w:val="18"/>
              </w:rPr>
            </w:pPr>
          </w:p>
        </w:tc>
      </w:tr>
      <w:tr w:rsidR="006E0E50" w:rsidRPr="00C3102F" w14:paraId="601B559F" w14:textId="77777777" w:rsidTr="006E0E50">
        <w:trPr>
          <w:trHeight w:val="255"/>
          <w:jc w:val="center"/>
        </w:trPr>
        <w:tc>
          <w:tcPr>
            <w:tcW w:w="3149" w:type="dxa"/>
            <w:shd w:val="clear" w:color="auto" w:fill="auto"/>
            <w:noWrap/>
            <w:vAlign w:val="bottom"/>
            <w:hideMark/>
          </w:tcPr>
          <w:p w14:paraId="7D59C701" w14:textId="77777777" w:rsidR="006E0E50" w:rsidRPr="00C3102F" w:rsidRDefault="006E0E50" w:rsidP="003B2A4F">
            <w:pPr>
              <w:rPr>
                <w:sz w:val="18"/>
                <w:szCs w:val="18"/>
              </w:rPr>
            </w:pPr>
            <w:r w:rsidRPr="00C3102F">
              <w:rPr>
                <w:sz w:val="18"/>
                <w:szCs w:val="18"/>
              </w:rPr>
              <w:t xml:space="preserve">Employed Part Time </w:t>
            </w:r>
          </w:p>
        </w:tc>
        <w:tc>
          <w:tcPr>
            <w:tcW w:w="960" w:type="dxa"/>
            <w:shd w:val="clear" w:color="auto" w:fill="auto"/>
            <w:noWrap/>
            <w:vAlign w:val="center"/>
            <w:hideMark/>
          </w:tcPr>
          <w:p w14:paraId="7834796E" w14:textId="77777777" w:rsidR="006E0E50" w:rsidRPr="00C3102F" w:rsidRDefault="006E0E50" w:rsidP="003B2A4F">
            <w:pPr>
              <w:jc w:val="center"/>
              <w:rPr>
                <w:sz w:val="18"/>
                <w:szCs w:val="18"/>
              </w:rPr>
            </w:pPr>
            <w:r w:rsidRPr="00C3102F">
              <w:rPr>
                <w:sz w:val="18"/>
                <w:szCs w:val="18"/>
              </w:rPr>
              <w:t>50%</w:t>
            </w:r>
          </w:p>
        </w:tc>
        <w:tc>
          <w:tcPr>
            <w:tcW w:w="920" w:type="dxa"/>
            <w:shd w:val="clear" w:color="auto" w:fill="auto"/>
            <w:noWrap/>
            <w:vAlign w:val="center"/>
            <w:hideMark/>
          </w:tcPr>
          <w:p w14:paraId="10236BC6" w14:textId="77777777" w:rsidR="006E0E50" w:rsidRPr="00C3102F" w:rsidRDefault="006E0E50" w:rsidP="003B2A4F">
            <w:pPr>
              <w:jc w:val="center"/>
              <w:rPr>
                <w:sz w:val="18"/>
                <w:szCs w:val="18"/>
              </w:rPr>
            </w:pPr>
            <w:r w:rsidRPr="00C3102F">
              <w:rPr>
                <w:sz w:val="18"/>
                <w:szCs w:val="18"/>
              </w:rPr>
              <w:t>10</w:t>
            </w:r>
          </w:p>
        </w:tc>
        <w:tc>
          <w:tcPr>
            <w:tcW w:w="960" w:type="dxa"/>
            <w:vAlign w:val="center"/>
          </w:tcPr>
          <w:p w14:paraId="39EA3351" w14:textId="77777777" w:rsidR="006E0E50" w:rsidRPr="00C3102F" w:rsidRDefault="006E0E50" w:rsidP="003B2A4F">
            <w:pPr>
              <w:jc w:val="center"/>
              <w:rPr>
                <w:sz w:val="18"/>
                <w:szCs w:val="18"/>
              </w:rPr>
            </w:pPr>
          </w:p>
        </w:tc>
        <w:tc>
          <w:tcPr>
            <w:tcW w:w="960" w:type="dxa"/>
            <w:shd w:val="clear" w:color="auto" w:fill="auto"/>
            <w:noWrap/>
            <w:vAlign w:val="center"/>
            <w:hideMark/>
          </w:tcPr>
          <w:p w14:paraId="68BF8097" w14:textId="77777777" w:rsidR="006E0E50" w:rsidRPr="00C3102F" w:rsidRDefault="006E0E50" w:rsidP="003B2A4F">
            <w:pPr>
              <w:jc w:val="center"/>
              <w:rPr>
                <w:sz w:val="18"/>
                <w:szCs w:val="18"/>
              </w:rPr>
            </w:pPr>
          </w:p>
        </w:tc>
        <w:tc>
          <w:tcPr>
            <w:tcW w:w="960" w:type="dxa"/>
            <w:shd w:val="clear" w:color="auto" w:fill="auto"/>
            <w:noWrap/>
            <w:vAlign w:val="center"/>
            <w:hideMark/>
          </w:tcPr>
          <w:p w14:paraId="15B51CB7" w14:textId="77777777" w:rsidR="006E0E50" w:rsidRPr="00C3102F" w:rsidRDefault="006E0E50" w:rsidP="003B2A4F">
            <w:pPr>
              <w:jc w:val="center"/>
              <w:rPr>
                <w:sz w:val="18"/>
                <w:szCs w:val="18"/>
              </w:rPr>
            </w:pPr>
          </w:p>
        </w:tc>
      </w:tr>
      <w:tr w:rsidR="006E0E50" w:rsidRPr="00C3102F" w14:paraId="365076CA" w14:textId="77777777" w:rsidTr="006E0E50">
        <w:trPr>
          <w:trHeight w:val="255"/>
          <w:jc w:val="center"/>
        </w:trPr>
        <w:tc>
          <w:tcPr>
            <w:tcW w:w="3149" w:type="dxa"/>
            <w:shd w:val="clear" w:color="auto" w:fill="auto"/>
            <w:noWrap/>
            <w:vAlign w:val="bottom"/>
            <w:hideMark/>
          </w:tcPr>
          <w:p w14:paraId="13B096FF" w14:textId="77777777" w:rsidR="006E0E50" w:rsidRPr="00C3102F" w:rsidRDefault="006E0E50" w:rsidP="003B2A4F">
            <w:pPr>
              <w:rPr>
                <w:sz w:val="18"/>
                <w:szCs w:val="18"/>
              </w:rPr>
            </w:pPr>
            <w:r w:rsidRPr="00C3102F">
              <w:rPr>
                <w:sz w:val="18"/>
                <w:szCs w:val="18"/>
              </w:rPr>
              <w:t>Family income per week</w:t>
            </w:r>
          </w:p>
        </w:tc>
        <w:tc>
          <w:tcPr>
            <w:tcW w:w="960" w:type="dxa"/>
            <w:shd w:val="clear" w:color="auto" w:fill="auto"/>
            <w:noWrap/>
            <w:vAlign w:val="center"/>
            <w:hideMark/>
          </w:tcPr>
          <w:p w14:paraId="789D6D21" w14:textId="77777777" w:rsidR="006E0E50" w:rsidRPr="00C3102F" w:rsidRDefault="006E0E50" w:rsidP="003B2A4F">
            <w:pPr>
              <w:jc w:val="center"/>
              <w:rPr>
                <w:sz w:val="18"/>
                <w:szCs w:val="18"/>
              </w:rPr>
            </w:pPr>
          </w:p>
        </w:tc>
        <w:tc>
          <w:tcPr>
            <w:tcW w:w="920" w:type="dxa"/>
            <w:shd w:val="clear" w:color="auto" w:fill="auto"/>
            <w:noWrap/>
            <w:vAlign w:val="center"/>
            <w:hideMark/>
          </w:tcPr>
          <w:p w14:paraId="4A70898B" w14:textId="77777777" w:rsidR="006E0E50" w:rsidRPr="00C3102F" w:rsidRDefault="006E0E50" w:rsidP="003B2A4F">
            <w:pPr>
              <w:jc w:val="center"/>
              <w:rPr>
                <w:sz w:val="18"/>
                <w:szCs w:val="18"/>
              </w:rPr>
            </w:pPr>
          </w:p>
        </w:tc>
        <w:tc>
          <w:tcPr>
            <w:tcW w:w="960" w:type="dxa"/>
            <w:vAlign w:val="center"/>
          </w:tcPr>
          <w:p w14:paraId="5A596B64" w14:textId="77777777" w:rsidR="006E0E50" w:rsidRPr="00C3102F" w:rsidRDefault="006E0E50" w:rsidP="003B2A4F">
            <w:pPr>
              <w:jc w:val="center"/>
              <w:rPr>
                <w:sz w:val="18"/>
                <w:szCs w:val="18"/>
              </w:rPr>
            </w:pPr>
          </w:p>
        </w:tc>
        <w:tc>
          <w:tcPr>
            <w:tcW w:w="960" w:type="dxa"/>
            <w:shd w:val="clear" w:color="auto" w:fill="auto"/>
            <w:noWrap/>
            <w:vAlign w:val="center"/>
            <w:hideMark/>
          </w:tcPr>
          <w:p w14:paraId="3379C9A0" w14:textId="77777777" w:rsidR="006E0E50" w:rsidRPr="00C3102F" w:rsidRDefault="006E0E50" w:rsidP="003B2A4F">
            <w:pPr>
              <w:jc w:val="center"/>
              <w:rPr>
                <w:sz w:val="18"/>
                <w:szCs w:val="18"/>
              </w:rPr>
            </w:pPr>
          </w:p>
        </w:tc>
        <w:tc>
          <w:tcPr>
            <w:tcW w:w="960" w:type="dxa"/>
            <w:shd w:val="clear" w:color="auto" w:fill="auto"/>
            <w:noWrap/>
            <w:vAlign w:val="center"/>
            <w:hideMark/>
          </w:tcPr>
          <w:p w14:paraId="6238C0FC" w14:textId="77777777" w:rsidR="006E0E50" w:rsidRPr="00C3102F" w:rsidRDefault="006E0E50" w:rsidP="003B2A4F">
            <w:pPr>
              <w:jc w:val="center"/>
              <w:rPr>
                <w:sz w:val="18"/>
                <w:szCs w:val="18"/>
              </w:rPr>
            </w:pPr>
          </w:p>
        </w:tc>
      </w:tr>
      <w:tr w:rsidR="006E0E50" w:rsidRPr="00C3102F" w14:paraId="10E7B0AA" w14:textId="77777777" w:rsidTr="006E0E50">
        <w:trPr>
          <w:trHeight w:val="255"/>
          <w:jc w:val="center"/>
        </w:trPr>
        <w:tc>
          <w:tcPr>
            <w:tcW w:w="3149" w:type="dxa"/>
            <w:shd w:val="clear" w:color="auto" w:fill="auto"/>
            <w:noWrap/>
            <w:vAlign w:val="bottom"/>
            <w:hideMark/>
          </w:tcPr>
          <w:p w14:paraId="47E9E4CC" w14:textId="77777777" w:rsidR="006E0E50" w:rsidRPr="00C3102F" w:rsidRDefault="006E0E50" w:rsidP="003B2A4F">
            <w:pPr>
              <w:ind w:firstLineChars="100" w:firstLine="180"/>
              <w:rPr>
                <w:sz w:val="18"/>
                <w:szCs w:val="18"/>
              </w:rPr>
            </w:pPr>
            <w:r w:rsidRPr="00C3102F">
              <w:rPr>
                <w:sz w:val="18"/>
                <w:szCs w:val="18"/>
              </w:rPr>
              <w:t>$285 or less</w:t>
            </w:r>
          </w:p>
        </w:tc>
        <w:tc>
          <w:tcPr>
            <w:tcW w:w="960" w:type="dxa"/>
            <w:shd w:val="clear" w:color="auto" w:fill="auto"/>
            <w:noWrap/>
            <w:vAlign w:val="center"/>
            <w:hideMark/>
          </w:tcPr>
          <w:p w14:paraId="72FB2F89" w14:textId="77777777" w:rsidR="006E0E50" w:rsidRPr="00C3102F" w:rsidRDefault="006E0E50" w:rsidP="003B2A4F">
            <w:pPr>
              <w:jc w:val="center"/>
              <w:rPr>
                <w:sz w:val="18"/>
                <w:szCs w:val="18"/>
              </w:rPr>
            </w:pPr>
            <w:r w:rsidRPr="00C3102F">
              <w:rPr>
                <w:sz w:val="18"/>
                <w:szCs w:val="18"/>
              </w:rPr>
              <w:t>15%</w:t>
            </w:r>
          </w:p>
        </w:tc>
        <w:tc>
          <w:tcPr>
            <w:tcW w:w="920" w:type="dxa"/>
            <w:shd w:val="clear" w:color="auto" w:fill="auto"/>
            <w:noWrap/>
            <w:vAlign w:val="center"/>
            <w:hideMark/>
          </w:tcPr>
          <w:p w14:paraId="295B9B46" w14:textId="77777777" w:rsidR="006E0E50" w:rsidRPr="00C3102F" w:rsidRDefault="006E0E50" w:rsidP="003B2A4F">
            <w:pPr>
              <w:jc w:val="center"/>
              <w:rPr>
                <w:sz w:val="18"/>
                <w:szCs w:val="18"/>
              </w:rPr>
            </w:pPr>
            <w:r w:rsidRPr="00C3102F">
              <w:rPr>
                <w:sz w:val="18"/>
                <w:szCs w:val="18"/>
              </w:rPr>
              <w:t>3</w:t>
            </w:r>
          </w:p>
        </w:tc>
        <w:tc>
          <w:tcPr>
            <w:tcW w:w="960" w:type="dxa"/>
            <w:vAlign w:val="center"/>
          </w:tcPr>
          <w:p w14:paraId="3A6093B0" w14:textId="77777777" w:rsidR="006E0E50" w:rsidRPr="00C3102F" w:rsidRDefault="006E0E50" w:rsidP="003B2A4F">
            <w:pPr>
              <w:jc w:val="center"/>
              <w:rPr>
                <w:sz w:val="18"/>
                <w:szCs w:val="18"/>
              </w:rPr>
            </w:pPr>
          </w:p>
        </w:tc>
        <w:tc>
          <w:tcPr>
            <w:tcW w:w="960" w:type="dxa"/>
            <w:shd w:val="clear" w:color="auto" w:fill="auto"/>
            <w:noWrap/>
            <w:vAlign w:val="center"/>
            <w:hideMark/>
          </w:tcPr>
          <w:p w14:paraId="260E96D0" w14:textId="77777777" w:rsidR="006E0E50" w:rsidRPr="00C3102F" w:rsidRDefault="006E0E50" w:rsidP="003B2A4F">
            <w:pPr>
              <w:jc w:val="center"/>
              <w:rPr>
                <w:sz w:val="18"/>
                <w:szCs w:val="18"/>
              </w:rPr>
            </w:pPr>
          </w:p>
        </w:tc>
        <w:tc>
          <w:tcPr>
            <w:tcW w:w="960" w:type="dxa"/>
            <w:shd w:val="clear" w:color="auto" w:fill="auto"/>
            <w:noWrap/>
            <w:vAlign w:val="center"/>
            <w:hideMark/>
          </w:tcPr>
          <w:p w14:paraId="18BC752B" w14:textId="77777777" w:rsidR="006E0E50" w:rsidRPr="00C3102F" w:rsidRDefault="006E0E50" w:rsidP="003B2A4F">
            <w:pPr>
              <w:jc w:val="center"/>
              <w:rPr>
                <w:sz w:val="18"/>
                <w:szCs w:val="18"/>
              </w:rPr>
            </w:pPr>
          </w:p>
        </w:tc>
      </w:tr>
      <w:tr w:rsidR="006E0E50" w:rsidRPr="00C3102F" w14:paraId="1E57A27D" w14:textId="77777777" w:rsidTr="006E0E50">
        <w:trPr>
          <w:trHeight w:val="255"/>
          <w:jc w:val="center"/>
        </w:trPr>
        <w:tc>
          <w:tcPr>
            <w:tcW w:w="3149" w:type="dxa"/>
            <w:shd w:val="clear" w:color="auto" w:fill="auto"/>
            <w:noWrap/>
            <w:vAlign w:val="bottom"/>
            <w:hideMark/>
          </w:tcPr>
          <w:p w14:paraId="23712C85" w14:textId="77777777" w:rsidR="006E0E50" w:rsidRPr="00C3102F" w:rsidRDefault="006E0E50" w:rsidP="003B2A4F">
            <w:pPr>
              <w:ind w:firstLineChars="100" w:firstLine="180"/>
              <w:rPr>
                <w:sz w:val="18"/>
                <w:szCs w:val="18"/>
              </w:rPr>
            </w:pPr>
            <w:r w:rsidRPr="00C3102F">
              <w:rPr>
                <w:sz w:val="18"/>
                <w:szCs w:val="18"/>
              </w:rPr>
              <w:t>$286 - $430</w:t>
            </w:r>
          </w:p>
        </w:tc>
        <w:tc>
          <w:tcPr>
            <w:tcW w:w="960" w:type="dxa"/>
            <w:shd w:val="clear" w:color="auto" w:fill="auto"/>
            <w:noWrap/>
            <w:vAlign w:val="center"/>
            <w:hideMark/>
          </w:tcPr>
          <w:p w14:paraId="47C5BE16" w14:textId="77777777" w:rsidR="006E0E50" w:rsidRPr="00C3102F" w:rsidRDefault="006E0E50" w:rsidP="003B2A4F">
            <w:pPr>
              <w:jc w:val="center"/>
              <w:rPr>
                <w:sz w:val="18"/>
                <w:szCs w:val="18"/>
              </w:rPr>
            </w:pPr>
            <w:r w:rsidRPr="00C3102F">
              <w:rPr>
                <w:sz w:val="18"/>
                <w:szCs w:val="18"/>
              </w:rPr>
              <w:t>50%</w:t>
            </w:r>
          </w:p>
        </w:tc>
        <w:tc>
          <w:tcPr>
            <w:tcW w:w="920" w:type="dxa"/>
            <w:shd w:val="clear" w:color="auto" w:fill="auto"/>
            <w:noWrap/>
            <w:vAlign w:val="center"/>
            <w:hideMark/>
          </w:tcPr>
          <w:p w14:paraId="081A2EAF" w14:textId="77777777" w:rsidR="006E0E50" w:rsidRPr="00C3102F" w:rsidRDefault="006E0E50" w:rsidP="003B2A4F">
            <w:pPr>
              <w:jc w:val="center"/>
              <w:rPr>
                <w:sz w:val="18"/>
                <w:szCs w:val="18"/>
              </w:rPr>
            </w:pPr>
            <w:r w:rsidRPr="00C3102F">
              <w:rPr>
                <w:sz w:val="18"/>
                <w:szCs w:val="18"/>
              </w:rPr>
              <w:t>10</w:t>
            </w:r>
          </w:p>
        </w:tc>
        <w:tc>
          <w:tcPr>
            <w:tcW w:w="960" w:type="dxa"/>
            <w:vAlign w:val="center"/>
          </w:tcPr>
          <w:p w14:paraId="6F7D9722" w14:textId="77777777" w:rsidR="006E0E50" w:rsidRPr="00C3102F" w:rsidRDefault="006E0E50" w:rsidP="003B2A4F">
            <w:pPr>
              <w:jc w:val="center"/>
              <w:rPr>
                <w:sz w:val="18"/>
                <w:szCs w:val="18"/>
              </w:rPr>
            </w:pPr>
          </w:p>
        </w:tc>
        <w:tc>
          <w:tcPr>
            <w:tcW w:w="960" w:type="dxa"/>
            <w:shd w:val="clear" w:color="auto" w:fill="auto"/>
            <w:noWrap/>
            <w:vAlign w:val="center"/>
            <w:hideMark/>
          </w:tcPr>
          <w:p w14:paraId="401BEFF5" w14:textId="77777777" w:rsidR="006E0E50" w:rsidRPr="00C3102F" w:rsidRDefault="006E0E50" w:rsidP="003B2A4F">
            <w:pPr>
              <w:jc w:val="center"/>
              <w:rPr>
                <w:sz w:val="18"/>
                <w:szCs w:val="18"/>
              </w:rPr>
            </w:pPr>
          </w:p>
        </w:tc>
        <w:tc>
          <w:tcPr>
            <w:tcW w:w="960" w:type="dxa"/>
            <w:shd w:val="clear" w:color="auto" w:fill="auto"/>
            <w:noWrap/>
            <w:vAlign w:val="center"/>
            <w:hideMark/>
          </w:tcPr>
          <w:p w14:paraId="0AD1668B" w14:textId="77777777" w:rsidR="006E0E50" w:rsidRPr="00C3102F" w:rsidRDefault="006E0E50" w:rsidP="003B2A4F">
            <w:pPr>
              <w:jc w:val="center"/>
              <w:rPr>
                <w:sz w:val="18"/>
                <w:szCs w:val="18"/>
              </w:rPr>
            </w:pPr>
          </w:p>
        </w:tc>
      </w:tr>
      <w:tr w:rsidR="006E0E50" w:rsidRPr="00C3102F" w14:paraId="33211FFE" w14:textId="77777777" w:rsidTr="006E0E50">
        <w:trPr>
          <w:trHeight w:val="255"/>
          <w:jc w:val="center"/>
        </w:trPr>
        <w:tc>
          <w:tcPr>
            <w:tcW w:w="3149" w:type="dxa"/>
            <w:shd w:val="clear" w:color="auto" w:fill="auto"/>
            <w:noWrap/>
            <w:vAlign w:val="bottom"/>
            <w:hideMark/>
          </w:tcPr>
          <w:p w14:paraId="23014D89" w14:textId="77777777" w:rsidR="006E0E50" w:rsidRPr="00C3102F" w:rsidRDefault="006E0E50" w:rsidP="003B2A4F">
            <w:pPr>
              <w:ind w:firstLineChars="100" w:firstLine="180"/>
              <w:rPr>
                <w:sz w:val="18"/>
                <w:szCs w:val="18"/>
              </w:rPr>
            </w:pPr>
            <w:r w:rsidRPr="00C3102F">
              <w:rPr>
                <w:sz w:val="18"/>
                <w:szCs w:val="18"/>
              </w:rPr>
              <w:t>$431 - $575</w:t>
            </w:r>
          </w:p>
        </w:tc>
        <w:tc>
          <w:tcPr>
            <w:tcW w:w="960" w:type="dxa"/>
            <w:shd w:val="clear" w:color="auto" w:fill="auto"/>
            <w:noWrap/>
            <w:vAlign w:val="center"/>
            <w:hideMark/>
          </w:tcPr>
          <w:p w14:paraId="0408361F" w14:textId="77777777" w:rsidR="006E0E50" w:rsidRPr="00C3102F" w:rsidRDefault="006E0E50" w:rsidP="003B2A4F">
            <w:pPr>
              <w:jc w:val="center"/>
              <w:rPr>
                <w:sz w:val="18"/>
                <w:szCs w:val="18"/>
              </w:rPr>
            </w:pPr>
            <w:r w:rsidRPr="00C3102F">
              <w:rPr>
                <w:sz w:val="18"/>
                <w:szCs w:val="18"/>
              </w:rPr>
              <w:t>20%</w:t>
            </w:r>
          </w:p>
        </w:tc>
        <w:tc>
          <w:tcPr>
            <w:tcW w:w="920" w:type="dxa"/>
            <w:shd w:val="clear" w:color="auto" w:fill="auto"/>
            <w:noWrap/>
            <w:vAlign w:val="center"/>
            <w:hideMark/>
          </w:tcPr>
          <w:p w14:paraId="4A110353" w14:textId="77777777" w:rsidR="006E0E50" w:rsidRPr="00C3102F" w:rsidRDefault="006E0E50" w:rsidP="003B2A4F">
            <w:pPr>
              <w:jc w:val="center"/>
              <w:rPr>
                <w:sz w:val="18"/>
                <w:szCs w:val="18"/>
              </w:rPr>
            </w:pPr>
            <w:r w:rsidRPr="00C3102F">
              <w:rPr>
                <w:sz w:val="18"/>
                <w:szCs w:val="18"/>
              </w:rPr>
              <w:t>4</w:t>
            </w:r>
          </w:p>
        </w:tc>
        <w:tc>
          <w:tcPr>
            <w:tcW w:w="960" w:type="dxa"/>
            <w:vAlign w:val="center"/>
          </w:tcPr>
          <w:p w14:paraId="09B96C9C" w14:textId="77777777" w:rsidR="006E0E50" w:rsidRPr="00C3102F" w:rsidRDefault="006E0E50" w:rsidP="003B2A4F">
            <w:pPr>
              <w:jc w:val="center"/>
              <w:rPr>
                <w:sz w:val="18"/>
                <w:szCs w:val="18"/>
              </w:rPr>
            </w:pPr>
          </w:p>
        </w:tc>
        <w:tc>
          <w:tcPr>
            <w:tcW w:w="960" w:type="dxa"/>
            <w:shd w:val="clear" w:color="auto" w:fill="auto"/>
            <w:noWrap/>
            <w:vAlign w:val="center"/>
            <w:hideMark/>
          </w:tcPr>
          <w:p w14:paraId="29884DE7" w14:textId="77777777" w:rsidR="006E0E50" w:rsidRPr="00C3102F" w:rsidRDefault="006E0E50" w:rsidP="003B2A4F">
            <w:pPr>
              <w:jc w:val="center"/>
              <w:rPr>
                <w:sz w:val="18"/>
                <w:szCs w:val="18"/>
              </w:rPr>
            </w:pPr>
          </w:p>
        </w:tc>
        <w:tc>
          <w:tcPr>
            <w:tcW w:w="960" w:type="dxa"/>
            <w:shd w:val="clear" w:color="auto" w:fill="auto"/>
            <w:noWrap/>
            <w:vAlign w:val="center"/>
            <w:hideMark/>
          </w:tcPr>
          <w:p w14:paraId="6D21575B" w14:textId="77777777" w:rsidR="006E0E50" w:rsidRPr="00C3102F" w:rsidRDefault="006E0E50" w:rsidP="003B2A4F">
            <w:pPr>
              <w:jc w:val="center"/>
              <w:rPr>
                <w:sz w:val="18"/>
                <w:szCs w:val="18"/>
              </w:rPr>
            </w:pPr>
          </w:p>
        </w:tc>
      </w:tr>
      <w:tr w:rsidR="006E0E50" w:rsidRPr="00C3102F" w14:paraId="30BBB0FF" w14:textId="77777777" w:rsidTr="006E0E50">
        <w:trPr>
          <w:trHeight w:val="255"/>
          <w:jc w:val="center"/>
        </w:trPr>
        <w:tc>
          <w:tcPr>
            <w:tcW w:w="3149" w:type="dxa"/>
            <w:shd w:val="clear" w:color="auto" w:fill="auto"/>
            <w:noWrap/>
            <w:vAlign w:val="bottom"/>
            <w:hideMark/>
          </w:tcPr>
          <w:p w14:paraId="18D51656" w14:textId="77777777" w:rsidR="006E0E50" w:rsidRPr="00C3102F" w:rsidRDefault="006E0E50" w:rsidP="003B2A4F">
            <w:pPr>
              <w:ind w:firstLineChars="100" w:firstLine="180"/>
              <w:rPr>
                <w:sz w:val="18"/>
                <w:szCs w:val="18"/>
              </w:rPr>
            </w:pPr>
            <w:r w:rsidRPr="00C3102F">
              <w:rPr>
                <w:sz w:val="18"/>
                <w:szCs w:val="18"/>
              </w:rPr>
              <w:t>$576 - $720</w:t>
            </w:r>
          </w:p>
        </w:tc>
        <w:tc>
          <w:tcPr>
            <w:tcW w:w="960" w:type="dxa"/>
            <w:shd w:val="clear" w:color="auto" w:fill="auto"/>
            <w:noWrap/>
            <w:vAlign w:val="center"/>
            <w:hideMark/>
          </w:tcPr>
          <w:p w14:paraId="41C6AA86" w14:textId="77777777" w:rsidR="006E0E50" w:rsidRPr="00C3102F" w:rsidRDefault="006E0E50" w:rsidP="003B2A4F">
            <w:pPr>
              <w:jc w:val="center"/>
              <w:rPr>
                <w:sz w:val="18"/>
                <w:szCs w:val="18"/>
              </w:rPr>
            </w:pPr>
            <w:r w:rsidRPr="00C3102F">
              <w:rPr>
                <w:sz w:val="18"/>
                <w:szCs w:val="18"/>
              </w:rPr>
              <w:t>5%</w:t>
            </w:r>
          </w:p>
        </w:tc>
        <w:tc>
          <w:tcPr>
            <w:tcW w:w="920" w:type="dxa"/>
            <w:shd w:val="clear" w:color="auto" w:fill="auto"/>
            <w:noWrap/>
            <w:vAlign w:val="center"/>
            <w:hideMark/>
          </w:tcPr>
          <w:p w14:paraId="7D88A2E1" w14:textId="77777777" w:rsidR="006E0E50" w:rsidRPr="00C3102F" w:rsidRDefault="006E0E50" w:rsidP="003B2A4F">
            <w:pPr>
              <w:jc w:val="center"/>
              <w:rPr>
                <w:sz w:val="18"/>
                <w:szCs w:val="18"/>
              </w:rPr>
            </w:pPr>
            <w:r w:rsidRPr="00C3102F">
              <w:rPr>
                <w:sz w:val="18"/>
                <w:szCs w:val="18"/>
              </w:rPr>
              <w:t>1</w:t>
            </w:r>
          </w:p>
        </w:tc>
        <w:tc>
          <w:tcPr>
            <w:tcW w:w="960" w:type="dxa"/>
            <w:vAlign w:val="center"/>
          </w:tcPr>
          <w:p w14:paraId="7DDD8786" w14:textId="77777777" w:rsidR="006E0E50" w:rsidRPr="00C3102F" w:rsidRDefault="006E0E50" w:rsidP="003B2A4F">
            <w:pPr>
              <w:jc w:val="center"/>
              <w:rPr>
                <w:sz w:val="18"/>
                <w:szCs w:val="18"/>
              </w:rPr>
            </w:pPr>
          </w:p>
        </w:tc>
        <w:tc>
          <w:tcPr>
            <w:tcW w:w="960" w:type="dxa"/>
            <w:shd w:val="clear" w:color="auto" w:fill="auto"/>
            <w:noWrap/>
            <w:vAlign w:val="center"/>
            <w:hideMark/>
          </w:tcPr>
          <w:p w14:paraId="36A50E33" w14:textId="77777777" w:rsidR="006E0E50" w:rsidRPr="00C3102F" w:rsidRDefault="006E0E50" w:rsidP="003B2A4F">
            <w:pPr>
              <w:jc w:val="center"/>
              <w:rPr>
                <w:sz w:val="18"/>
                <w:szCs w:val="18"/>
              </w:rPr>
            </w:pPr>
          </w:p>
        </w:tc>
        <w:tc>
          <w:tcPr>
            <w:tcW w:w="960" w:type="dxa"/>
            <w:shd w:val="clear" w:color="auto" w:fill="auto"/>
            <w:noWrap/>
            <w:vAlign w:val="center"/>
            <w:hideMark/>
          </w:tcPr>
          <w:p w14:paraId="751E915E" w14:textId="77777777" w:rsidR="006E0E50" w:rsidRPr="00C3102F" w:rsidRDefault="006E0E50" w:rsidP="003B2A4F">
            <w:pPr>
              <w:jc w:val="center"/>
              <w:rPr>
                <w:sz w:val="18"/>
                <w:szCs w:val="18"/>
              </w:rPr>
            </w:pPr>
          </w:p>
        </w:tc>
      </w:tr>
      <w:tr w:rsidR="006E0E50" w:rsidRPr="00C3102F" w14:paraId="01C8FBF1" w14:textId="77777777" w:rsidTr="006E0E50">
        <w:trPr>
          <w:trHeight w:val="255"/>
          <w:jc w:val="center"/>
        </w:trPr>
        <w:tc>
          <w:tcPr>
            <w:tcW w:w="3149" w:type="dxa"/>
            <w:shd w:val="clear" w:color="auto" w:fill="auto"/>
            <w:noWrap/>
            <w:vAlign w:val="bottom"/>
            <w:hideMark/>
          </w:tcPr>
          <w:p w14:paraId="2B81E534" w14:textId="77777777" w:rsidR="006E0E50" w:rsidRPr="00C3102F" w:rsidRDefault="006E0E50" w:rsidP="003B2A4F">
            <w:pPr>
              <w:rPr>
                <w:sz w:val="18"/>
                <w:szCs w:val="18"/>
              </w:rPr>
            </w:pPr>
            <w:r w:rsidRPr="00C3102F">
              <w:rPr>
                <w:sz w:val="18"/>
                <w:szCs w:val="18"/>
              </w:rPr>
              <w:t>Number of people income supports</w:t>
            </w:r>
          </w:p>
        </w:tc>
        <w:tc>
          <w:tcPr>
            <w:tcW w:w="960" w:type="dxa"/>
            <w:shd w:val="clear" w:color="auto" w:fill="auto"/>
            <w:noWrap/>
            <w:vAlign w:val="center"/>
            <w:hideMark/>
          </w:tcPr>
          <w:p w14:paraId="3142C911" w14:textId="77777777" w:rsidR="006E0E50" w:rsidRPr="00C3102F" w:rsidRDefault="006E0E50" w:rsidP="003B2A4F">
            <w:pPr>
              <w:jc w:val="center"/>
              <w:rPr>
                <w:sz w:val="18"/>
                <w:szCs w:val="18"/>
              </w:rPr>
            </w:pPr>
          </w:p>
        </w:tc>
        <w:tc>
          <w:tcPr>
            <w:tcW w:w="920" w:type="dxa"/>
            <w:shd w:val="clear" w:color="auto" w:fill="auto"/>
            <w:noWrap/>
            <w:vAlign w:val="center"/>
            <w:hideMark/>
          </w:tcPr>
          <w:p w14:paraId="6A286E76" w14:textId="77777777" w:rsidR="006E0E50" w:rsidRPr="00C3102F" w:rsidRDefault="006E0E50" w:rsidP="003B2A4F">
            <w:pPr>
              <w:jc w:val="center"/>
              <w:rPr>
                <w:sz w:val="18"/>
                <w:szCs w:val="18"/>
              </w:rPr>
            </w:pPr>
            <w:r w:rsidRPr="00C3102F">
              <w:rPr>
                <w:sz w:val="18"/>
                <w:szCs w:val="18"/>
              </w:rPr>
              <w:t>18</w:t>
            </w:r>
          </w:p>
        </w:tc>
        <w:tc>
          <w:tcPr>
            <w:tcW w:w="960" w:type="dxa"/>
            <w:vAlign w:val="center"/>
          </w:tcPr>
          <w:p w14:paraId="2C22842D" w14:textId="77777777" w:rsidR="006E0E50" w:rsidRPr="00C3102F" w:rsidRDefault="006E0E50" w:rsidP="003B2A4F">
            <w:pPr>
              <w:jc w:val="center"/>
              <w:rPr>
                <w:sz w:val="18"/>
                <w:szCs w:val="18"/>
              </w:rPr>
            </w:pPr>
            <w:r w:rsidRPr="00C3102F">
              <w:rPr>
                <w:sz w:val="18"/>
                <w:szCs w:val="18"/>
              </w:rPr>
              <w:t>3.33</w:t>
            </w:r>
          </w:p>
        </w:tc>
        <w:tc>
          <w:tcPr>
            <w:tcW w:w="960" w:type="dxa"/>
            <w:shd w:val="clear" w:color="auto" w:fill="auto"/>
            <w:noWrap/>
            <w:vAlign w:val="center"/>
            <w:hideMark/>
          </w:tcPr>
          <w:p w14:paraId="43358DFC" w14:textId="77777777" w:rsidR="006E0E50" w:rsidRPr="00C3102F" w:rsidRDefault="006E0E50" w:rsidP="003B2A4F">
            <w:pPr>
              <w:jc w:val="center"/>
              <w:rPr>
                <w:sz w:val="18"/>
                <w:szCs w:val="18"/>
              </w:rPr>
            </w:pPr>
            <w:r w:rsidRPr="00C3102F">
              <w:rPr>
                <w:sz w:val="18"/>
                <w:szCs w:val="18"/>
              </w:rPr>
              <w:t>1.28</w:t>
            </w:r>
          </w:p>
        </w:tc>
        <w:tc>
          <w:tcPr>
            <w:tcW w:w="960" w:type="dxa"/>
            <w:shd w:val="clear" w:color="auto" w:fill="auto"/>
            <w:noWrap/>
            <w:vAlign w:val="center"/>
            <w:hideMark/>
          </w:tcPr>
          <w:p w14:paraId="7894DC01" w14:textId="77777777" w:rsidR="006E0E50" w:rsidRPr="00C3102F" w:rsidRDefault="006E0E50" w:rsidP="003B2A4F">
            <w:pPr>
              <w:jc w:val="center"/>
              <w:rPr>
                <w:sz w:val="18"/>
                <w:szCs w:val="18"/>
              </w:rPr>
            </w:pPr>
            <w:r w:rsidRPr="00C3102F">
              <w:rPr>
                <w:sz w:val="18"/>
                <w:szCs w:val="18"/>
              </w:rPr>
              <w:t>1-6</w:t>
            </w:r>
          </w:p>
        </w:tc>
      </w:tr>
      <w:tr w:rsidR="006E0E50" w:rsidRPr="00C3102F" w14:paraId="6F227A08" w14:textId="77777777" w:rsidTr="006E0E50">
        <w:trPr>
          <w:trHeight w:val="255"/>
          <w:jc w:val="center"/>
        </w:trPr>
        <w:tc>
          <w:tcPr>
            <w:tcW w:w="3149" w:type="dxa"/>
            <w:shd w:val="clear" w:color="auto" w:fill="auto"/>
            <w:noWrap/>
            <w:vAlign w:val="bottom"/>
            <w:hideMark/>
          </w:tcPr>
          <w:p w14:paraId="1675FD7B" w14:textId="77777777" w:rsidR="006E0E50" w:rsidRPr="00C3102F" w:rsidRDefault="006E0E50" w:rsidP="003B2A4F">
            <w:pPr>
              <w:rPr>
                <w:sz w:val="18"/>
                <w:szCs w:val="18"/>
              </w:rPr>
            </w:pPr>
            <w:r w:rsidRPr="00C3102F">
              <w:rPr>
                <w:sz w:val="18"/>
                <w:szCs w:val="18"/>
              </w:rPr>
              <w:t>Household size (adults)</w:t>
            </w:r>
          </w:p>
        </w:tc>
        <w:tc>
          <w:tcPr>
            <w:tcW w:w="960" w:type="dxa"/>
            <w:shd w:val="clear" w:color="auto" w:fill="auto"/>
            <w:noWrap/>
            <w:vAlign w:val="center"/>
            <w:hideMark/>
          </w:tcPr>
          <w:p w14:paraId="478A229D" w14:textId="77777777" w:rsidR="006E0E50" w:rsidRPr="00C3102F" w:rsidRDefault="006E0E50" w:rsidP="003B2A4F">
            <w:pPr>
              <w:jc w:val="center"/>
              <w:rPr>
                <w:sz w:val="18"/>
                <w:szCs w:val="18"/>
              </w:rPr>
            </w:pPr>
          </w:p>
        </w:tc>
        <w:tc>
          <w:tcPr>
            <w:tcW w:w="920" w:type="dxa"/>
            <w:shd w:val="clear" w:color="auto" w:fill="auto"/>
            <w:noWrap/>
            <w:vAlign w:val="center"/>
            <w:hideMark/>
          </w:tcPr>
          <w:p w14:paraId="195EC418" w14:textId="77777777" w:rsidR="006E0E50" w:rsidRPr="00C3102F" w:rsidRDefault="006E0E50" w:rsidP="003B2A4F">
            <w:pPr>
              <w:jc w:val="center"/>
              <w:rPr>
                <w:sz w:val="18"/>
                <w:szCs w:val="18"/>
              </w:rPr>
            </w:pPr>
            <w:r w:rsidRPr="00C3102F">
              <w:rPr>
                <w:sz w:val="18"/>
                <w:szCs w:val="18"/>
              </w:rPr>
              <w:t>20</w:t>
            </w:r>
          </w:p>
        </w:tc>
        <w:tc>
          <w:tcPr>
            <w:tcW w:w="960" w:type="dxa"/>
            <w:vAlign w:val="center"/>
          </w:tcPr>
          <w:p w14:paraId="63958523" w14:textId="77777777" w:rsidR="006E0E50" w:rsidRPr="00C3102F" w:rsidRDefault="006E0E50" w:rsidP="003B2A4F">
            <w:pPr>
              <w:jc w:val="center"/>
              <w:rPr>
                <w:sz w:val="18"/>
                <w:szCs w:val="18"/>
              </w:rPr>
            </w:pPr>
            <w:r w:rsidRPr="00C3102F">
              <w:rPr>
                <w:sz w:val="18"/>
                <w:szCs w:val="18"/>
              </w:rPr>
              <w:t>2.35</w:t>
            </w:r>
          </w:p>
        </w:tc>
        <w:tc>
          <w:tcPr>
            <w:tcW w:w="960" w:type="dxa"/>
            <w:shd w:val="clear" w:color="auto" w:fill="auto"/>
            <w:noWrap/>
            <w:vAlign w:val="center"/>
            <w:hideMark/>
          </w:tcPr>
          <w:p w14:paraId="7A21874C" w14:textId="77777777" w:rsidR="006E0E50" w:rsidRPr="00C3102F" w:rsidRDefault="006E0E50" w:rsidP="003B2A4F">
            <w:pPr>
              <w:jc w:val="center"/>
              <w:rPr>
                <w:sz w:val="18"/>
                <w:szCs w:val="18"/>
              </w:rPr>
            </w:pPr>
            <w:r w:rsidRPr="00C3102F">
              <w:rPr>
                <w:sz w:val="18"/>
                <w:szCs w:val="18"/>
              </w:rPr>
              <w:t>1.14</w:t>
            </w:r>
          </w:p>
        </w:tc>
        <w:tc>
          <w:tcPr>
            <w:tcW w:w="960" w:type="dxa"/>
            <w:shd w:val="clear" w:color="auto" w:fill="auto"/>
            <w:noWrap/>
            <w:vAlign w:val="center"/>
            <w:hideMark/>
          </w:tcPr>
          <w:p w14:paraId="73506AEA" w14:textId="77777777" w:rsidR="006E0E50" w:rsidRPr="00C3102F" w:rsidRDefault="006E0E50" w:rsidP="003B2A4F">
            <w:pPr>
              <w:jc w:val="center"/>
              <w:rPr>
                <w:sz w:val="18"/>
                <w:szCs w:val="18"/>
              </w:rPr>
            </w:pPr>
            <w:r w:rsidRPr="00C3102F">
              <w:rPr>
                <w:sz w:val="18"/>
                <w:szCs w:val="18"/>
              </w:rPr>
              <w:t>1-5</w:t>
            </w:r>
          </w:p>
        </w:tc>
      </w:tr>
      <w:tr w:rsidR="006E0E50" w:rsidRPr="00C3102F" w14:paraId="116261A1" w14:textId="77777777" w:rsidTr="006E0E50">
        <w:trPr>
          <w:trHeight w:val="255"/>
          <w:jc w:val="center"/>
        </w:trPr>
        <w:tc>
          <w:tcPr>
            <w:tcW w:w="3149" w:type="dxa"/>
            <w:shd w:val="clear" w:color="auto" w:fill="auto"/>
            <w:noWrap/>
            <w:vAlign w:val="bottom"/>
            <w:hideMark/>
          </w:tcPr>
          <w:p w14:paraId="18B07BD2" w14:textId="77777777" w:rsidR="006E0E50" w:rsidRPr="00C3102F" w:rsidRDefault="006E0E50" w:rsidP="003B2A4F">
            <w:pPr>
              <w:rPr>
                <w:sz w:val="18"/>
                <w:szCs w:val="18"/>
              </w:rPr>
            </w:pPr>
            <w:r w:rsidRPr="00C3102F">
              <w:rPr>
                <w:sz w:val="18"/>
                <w:szCs w:val="18"/>
              </w:rPr>
              <w:t>Household size (children)</w:t>
            </w:r>
          </w:p>
        </w:tc>
        <w:tc>
          <w:tcPr>
            <w:tcW w:w="960" w:type="dxa"/>
            <w:shd w:val="clear" w:color="auto" w:fill="auto"/>
            <w:noWrap/>
            <w:vAlign w:val="center"/>
            <w:hideMark/>
          </w:tcPr>
          <w:p w14:paraId="458AE4F4" w14:textId="77777777" w:rsidR="006E0E50" w:rsidRPr="00C3102F" w:rsidRDefault="006E0E50" w:rsidP="003B2A4F">
            <w:pPr>
              <w:jc w:val="center"/>
              <w:rPr>
                <w:sz w:val="18"/>
                <w:szCs w:val="18"/>
              </w:rPr>
            </w:pPr>
          </w:p>
        </w:tc>
        <w:tc>
          <w:tcPr>
            <w:tcW w:w="920" w:type="dxa"/>
            <w:shd w:val="clear" w:color="auto" w:fill="auto"/>
            <w:noWrap/>
            <w:vAlign w:val="center"/>
            <w:hideMark/>
          </w:tcPr>
          <w:p w14:paraId="7C7E5149" w14:textId="77777777" w:rsidR="006E0E50" w:rsidRPr="00C3102F" w:rsidRDefault="006E0E50" w:rsidP="003B2A4F">
            <w:pPr>
              <w:jc w:val="center"/>
              <w:rPr>
                <w:sz w:val="18"/>
                <w:szCs w:val="18"/>
              </w:rPr>
            </w:pPr>
            <w:r w:rsidRPr="00C3102F">
              <w:rPr>
                <w:sz w:val="18"/>
                <w:szCs w:val="18"/>
              </w:rPr>
              <w:t>20</w:t>
            </w:r>
          </w:p>
        </w:tc>
        <w:tc>
          <w:tcPr>
            <w:tcW w:w="960" w:type="dxa"/>
            <w:vAlign w:val="center"/>
          </w:tcPr>
          <w:p w14:paraId="150145E6" w14:textId="77777777" w:rsidR="006E0E50" w:rsidRPr="00C3102F" w:rsidRDefault="006E0E50" w:rsidP="003B2A4F">
            <w:pPr>
              <w:jc w:val="center"/>
              <w:rPr>
                <w:sz w:val="18"/>
                <w:szCs w:val="18"/>
              </w:rPr>
            </w:pPr>
            <w:r w:rsidRPr="00C3102F">
              <w:rPr>
                <w:sz w:val="18"/>
                <w:szCs w:val="18"/>
              </w:rPr>
              <w:t>1.35</w:t>
            </w:r>
          </w:p>
        </w:tc>
        <w:tc>
          <w:tcPr>
            <w:tcW w:w="960" w:type="dxa"/>
            <w:shd w:val="clear" w:color="auto" w:fill="auto"/>
            <w:noWrap/>
            <w:vAlign w:val="center"/>
            <w:hideMark/>
          </w:tcPr>
          <w:p w14:paraId="6CE33D14" w14:textId="77777777" w:rsidR="006E0E50" w:rsidRPr="00C3102F" w:rsidRDefault="006E0E50" w:rsidP="003B2A4F">
            <w:pPr>
              <w:jc w:val="center"/>
              <w:rPr>
                <w:sz w:val="18"/>
                <w:szCs w:val="18"/>
              </w:rPr>
            </w:pPr>
            <w:r w:rsidRPr="00C3102F">
              <w:rPr>
                <w:sz w:val="18"/>
                <w:szCs w:val="18"/>
              </w:rPr>
              <w:t>1.18</w:t>
            </w:r>
          </w:p>
        </w:tc>
        <w:tc>
          <w:tcPr>
            <w:tcW w:w="960" w:type="dxa"/>
            <w:shd w:val="clear" w:color="auto" w:fill="auto"/>
            <w:noWrap/>
            <w:vAlign w:val="center"/>
            <w:hideMark/>
          </w:tcPr>
          <w:p w14:paraId="64AB0EC4" w14:textId="77777777" w:rsidR="006E0E50" w:rsidRPr="00C3102F" w:rsidRDefault="006E0E50" w:rsidP="003B2A4F">
            <w:pPr>
              <w:jc w:val="center"/>
              <w:rPr>
                <w:sz w:val="18"/>
                <w:szCs w:val="18"/>
              </w:rPr>
            </w:pPr>
            <w:r w:rsidRPr="00C3102F">
              <w:rPr>
                <w:sz w:val="18"/>
                <w:szCs w:val="18"/>
              </w:rPr>
              <w:t>0-5</w:t>
            </w:r>
          </w:p>
        </w:tc>
      </w:tr>
      <w:tr w:rsidR="006E0E50" w:rsidRPr="00C3102F" w14:paraId="1D14933E" w14:textId="77777777" w:rsidTr="006E0E50">
        <w:trPr>
          <w:trHeight w:val="255"/>
          <w:jc w:val="center"/>
        </w:trPr>
        <w:tc>
          <w:tcPr>
            <w:tcW w:w="3149" w:type="dxa"/>
            <w:shd w:val="clear" w:color="auto" w:fill="auto"/>
            <w:noWrap/>
            <w:vAlign w:val="bottom"/>
            <w:hideMark/>
          </w:tcPr>
          <w:p w14:paraId="06480A99" w14:textId="77777777" w:rsidR="006E0E50" w:rsidRPr="00C3102F" w:rsidRDefault="006E0E50" w:rsidP="003B2A4F">
            <w:pPr>
              <w:rPr>
                <w:sz w:val="18"/>
                <w:szCs w:val="18"/>
              </w:rPr>
            </w:pPr>
            <w:r w:rsidRPr="00C3102F">
              <w:rPr>
                <w:sz w:val="18"/>
                <w:szCs w:val="18"/>
              </w:rPr>
              <w:t>Has health insurance</w:t>
            </w:r>
          </w:p>
        </w:tc>
        <w:tc>
          <w:tcPr>
            <w:tcW w:w="960" w:type="dxa"/>
            <w:shd w:val="clear" w:color="auto" w:fill="auto"/>
            <w:noWrap/>
            <w:vAlign w:val="center"/>
            <w:hideMark/>
          </w:tcPr>
          <w:p w14:paraId="14CB5066" w14:textId="77777777" w:rsidR="006E0E50" w:rsidRPr="00C3102F" w:rsidRDefault="006E0E50" w:rsidP="003B2A4F">
            <w:pPr>
              <w:jc w:val="center"/>
              <w:rPr>
                <w:sz w:val="18"/>
                <w:szCs w:val="18"/>
              </w:rPr>
            </w:pPr>
            <w:r w:rsidRPr="00C3102F">
              <w:rPr>
                <w:sz w:val="18"/>
                <w:szCs w:val="18"/>
              </w:rPr>
              <w:t>15%</w:t>
            </w:r>
          </w:p>
        </w:tc>
        <w:tc>
          <w:tcPr>
            <w:tcW w:w="920" w:type="dxa"/>
            <w:shd w:val="clear" w:color="auto" w:fill="auto"/>
            <w:noWrap/>
            <w:vAlign w:val="center"/>
            <w:hideMark/>
          </w:tcPr>
          <w:p w14:paraId="56D8111A" w14:textId="77777777" w:rsidR="006E0E50" w:rsidRPr="00C3102F" w:rsidRDefault="006E0E50" w:rsidP="003B2A4F">
            <w:pPr>
              <w:jc w:val="center"/>
              <w:rPr>
                <w:sz w:val="18"/>
                <w:szCs w:val="18"/>
              </w:rPr>
            </w:pPr>
            <w:r w:rsidRPr="00C3102F">
              <w:rPr>
                <w:sz w:val="18"/>
                <w:szCs w:val="18"/>
              </w:rPr>
              <w:t>3</w:t>
            </w:r>
          </w:p>
        </w:tc>
        <w:tc>
          <w:tcPr>
            <w:tcW w:w="960" w:type="dxa"/>
            <w:vAlign w:val="center"/>
          </w:tcPr>
          <w:p w14:paraId="3A14E731" w14:textId="77777777" w:rsidR="006E0E50" w:rsidRPr="00C3102F" w:rsidRDefault="006E0E50" w:rsidP="003B2A4F">
            <w:pPr>
              <w:jc w:val="center"/>
              <w:rPr>
                <w:sz w:val="18"/>
                <w:szCs w:val="18"/>
              </w:rPr>
            </w:pPr>
          </w:p>
        </w:tc>
        <w:tc>
          <w:tcPr>
            <w:tcW w:w="960" w:type="dxa"/>
            <w:shd w:val="clear" w:color="auto" w:fill="auto"/>
            <w:noWrap/>
            <w:vAlign w:val="center"/>
            <w:hideMark/>
          </w:tcPr>
          <w:p w14:paraId="4EF606FC" w14:textId="77777777" w:rsidR="006E0E50" w:rsidRPr="00C3102F" w:rsidRDefault="006E0E50" w:rsidP="003B2A4F">
            <w:pPr>
              <w:jc w:val="center"/>
              <w:rPr>
                <w:sz w:val="18"/>
                <w:szCs w:val="18"/>
              </w:rPr>
            </w:pPr>
          </w:p>
        </w:tc>
        <w:tc>
          <w:tcPr>
            <w:tcW w:w="960" w:type="dxa"/>
            <w:shd w:val="clear" w:color="auto" w:fill="auto"/>
            <w:noWrap/>
            <w:vAlign w:val="center"/>
            <w:hideMark/>
          </w:tcPr>
          <w:p w14:paraId="4F76D6A0" w14:textId="77777777" w:rsidR="006E0E50" w:rsidRPr="00C3102F" w:rsidRDefault="006E0E50" w:rsidP="003B2A4F">
            <w:pPr>
              <w:jc w:val="center"/>
              <w:rPr>
                <w:sz w:val="18"/>
                <w:szCs w:val="18"/>
              </w:rPr>
            </w:pPr>
          </w:p>
        </w:tc>
      </w:tr>
      <w:tr w:rsidR="006E0E50" w:rsidRPr="00C3102F" w14:paraId="4773A538" w14:textId="77777777" w:rsidTr="006E0E50">
        <w:trPr>
          <w:trHeight w:val="510"/>
          <w:jc w:val="center"/>
        </w:trPr>
        <w:tc>
          <w:tcPr>
            <w:tcW w:w="3149" w:type="dxa"/>
            <w:shd w:val="clear" w:color="auto" w:fill="auto"/>
            <w:vAlign w:val="bottom"/>
          </w:tcPr>
          <w:p w14:paraId="39616034" w14:textId="77777777" w:rsidR="006E0E50" w:rsidRPr="00C3102F" w:rsidRDefault="006E0E50" w:rsidP="003B2A4F">
            <w:pPr>
              <w:rPr>
                <w:sz w:val="18"/>
                <w:szCs w:val="18"/>
              </w:rPr>
            </w:pPr>
            <w:r w:rsidRPr="00C3102F">
              <w:rPr>
                <w:sz w:val="18"/>
                <w:szCs w:val="18"/>
              </w:rPr>
              <w:t>Health Status</w:t>
            </w:r>
          </w:p>
          <w:p w14:paraId="67B48AF2" w14:textId="77777777" w:rsidR="006E0E50" w:rsidRPr="00C3102F" w:rsidRDefault="006E0E50" w:rsidP="003B2A4F">
            <w:pPr>
              <w:rPr>
                <w:sz w:val="18"/>
                <w:szCs w:val="18"/>
              </w:rPr>
            </w:pPr>
            <w:r w:rsidRPr="00C3102F">
              <w:rPr>
                <w:sz w:val="18"/>
                <w:szCs w:val="18"/>
              </w:rPr>
              <w:t xml:space="preserve">   Good or better</w:t>
            </w:r>
          </w:p>
        </w:tc>
        <w:tc>
          <w:tcPr>
            <w:tcW w:w="960" w:type="dxa"/>
            <w:shd w:val="clear" w:color="auto" w:fill="auto"/>
            <w:noWrap/>
            <w:vAlign w:val="center"/>
          </w:tcPr>
          <w:p w14:paraId="144360E0" w14:textId="77777777" w:rsidR="006E0E50" w:rsidRPr="00C3102F" w:rsidRDefault="006E0E50" w:rsidP="003B2A4F">
            <w:pPr>
              <w:jc w:val="center"/>
              <w:rPr>
                <w:sz w:val="18"/>
                <w:szCs w:val="18"/>
              </w:rPr>
            </w:pPr>
            <w:r w:rsidRPr="00C3102F">
              <w:rPr>
                <w:sz w:val="18"/>
                <w:szCs w:val="18"/>
              </w:rPr>
              <w:t>85%</w:t>
            </w:r>
          </w:p>
        </w:tc>
        <w:tc>
          <w:tcPr>
            <w:tcW w:w="920" w:type="dxa"/>
            <w:shd w:val="clear" w:color="auto" w:fill="auto"/>
            <w:noWrap/>
            <w:vAlign w:val="center"/>
          </w:tcPr>
          <w:p w14:paraId="77E8279F" w14:textId="77777777" w:rsidR="006E0E50" w:rsidRPr="00C3102F" w:rsidRDefault="006E0E50" w:rsidP="003B2A4F">
            <w:pPr>
              <w:jc w:val="center"/>
              <w:rPr>
                <w:sz w:val="18"/>
                <w:szCs w:val="18"/>
              </w:rPr>
            </w:pPr>
            <w:r w:rsidRPr="00C3102F">
              <w:rPr>
                <w:sz w:val="18"/>
                <w:szCs w:val="18"/>
              </w:rPr>
              <w:t>17</w:t>
            </w:r>
          </w:p>
        </w:tc>
        <w:tc>
          <w:tcPr>
            <w:tcW w:w="960" w:type="dxa"/>
            <w:vAlign w:val="center"/>
          </w:tcPr>
          <w:p w14:paraId="2044EC16" w14:textId="77777777" w:rsidR="006E0E50" w:rsidRPr="00C3102F" w:rsidRDefault="006E0E50" w:rsidP="003B2A4F">
            <w:pPr>
              <w:jc w:val="center"/>
              <w:rPr>
                <w:sz w:val="18"/>
                <w:szCs w:val="18"/>
              </w:rPr>
            </w:pPr>
          </w:p>
        </w:tc>
        <w:tc>
          <w:tcPr>
            <w:tcW w:w="960" w:type="dxa"/>
            <w:shd w:val="clear" w:color="auto" w:fill="auto"/>
            <w:noWrap/>
            <w:vAlign w:val="center"/>
          </w:tcPr>
          <w:p w14:paraId="0F21BC12" w14:textId="77777777" w:rsidR="006E0E50" w:rsidRPr="00C3102F" w:rsidRDefault="006E0E50" w:rsidP="003B2A4F">
            <w:pPr>
              <w:jc w:val="center"/>
              <w:rPr>
                <w:sz w:val="18"/>
                <w:szCs w:val="18"/>
              </w:rPr>
            </w:pPr>
          </w:p>
        </w:tc>
        <w:tc>
          <w:tcPr>
            <w:tcW w:w="960" w:type="dxa"/>
            <w:shd w:val="clear" w:color="auto" w:fill="auto"/>
            <w:noWrap/>
            <w:vAlign w:val="center"/>
          </w:tcPr>
          <w:p w14:paraId="1C38BB3C" w14:textId="77777777" w:rsidR="006E0E50" w:rsidRPr="00C3102F" w:rsidRDefault="006E0E50" w:rsidP="003B2A4F">
            <w:pPr>
              <w:jc w:val="center"/>
              <w:rPr>
                <w:sz w:val="18"/>
                <w:szCs w:val="18"/>
              </w:rPr>
            </w:pPr>
          </w:p>
        </w:tc>
      </w:tr>
      <w:tr w:rsidR="006E0E50" w:rsidRPr="00C3102F" w14:paraId="17EC8213" w14:textId="77777777" w:rsidTr="006E0E50">
        <w:trPr>
          <w:trHeight w:val="510"/>
          <w:jc w:val="center"/>
        </w:trPr>
        <w:tc>
          <w:tcPr>
            <w:tcW w:w="3149" w:type="dxa"/>
            <w:tcBorders>
              <w:bottom w:val="single" w:sz="4" w:space="0" w:color="auto"/>
            </w:tcBorders>
            <w:shd w:val="clear" w:color="auto" w:fill="auto"/>
            <w:vAlign w:val="bottom"/>
            <w:hideMark/>
          </w:tcPr>
          <w:p w14:paraId="3A962691" w14:textId="77777777" w:rsidR="006E0E50" w:rsidRPr="00C3102F" w:rsidRDefault="006E0E50" w:rsidP="003B2A4F">
            <w:pPr>
              <w:rPr>
                <w:sz w:val="18"/>
                <w:szCs w:val="18"/>
              </w:rPr>
            </w:pPr>
            <w:r w:rsidRPr="00C3102F">
              <w:rPr>
                <w:sz w:val="18"/>
                <w:szCs w:val="18"/>
              </w:rPr>
              <w:t>Acculturation score (1 = more Latino, 5 = more Anglo)</w:t>
            </w:r>
          </w:p>
        </w:tc>
        <w:tc>
          <w:tcPr>
            <w:tcW w:w="960" w:type="dxa"/>
            <w:tcBorders>
              <w:bottom w:val="single" w:sz="4" w:space="0" w:color="auto"/>
            </w:tcBorders>
            <w:shd w:val="clear" w:color="auto" w:fill="auto"/>
            <w:noWrap/>
            <w:vAlign w:val="center"/>
            <w:hideMark/>
          </w:tcPr>
          <w:p w14:paraId="2D525E9F" w14:textId="77777777" w:rsidR="006E0E50" w:rsidRPr="00C3102F" w:rsidRDefault="006E0E50" w:rsidP="003B2A4F">
            <w:pPr>
              <w:jc w:val="center"/>
              <w:rPr>
                <w:sz w:val="18"/>
                <w:szCs w:val="18"/>
              </w:rPr>
            </w:pPr>
          </w:p>
        </w:tc>
        <w:tc>
          <w:tcPr>
            <w:tcW w:w="920" w:type="dxa"/>
            <w:tcBorders>
              <w:bottom w:val="single" w:sz="4" w:space="0" w:color="auto"/>
            </w:tcBorders>
            <w:shd w:val="clear" w:color="auto" w:fill="auto"/>
            <w:noWrap/>
            <w:vAlign w:val="center"/>
            <w:hideMark/>
          </w:tcPr>
          <w:p w14:paraId="4C04BA59" w14:textId="77777777" w:rsidR="006E0E50" w:rsidRPr="00C3102F" w:rsidRDefault="006E0E50" w:rsidP="003B2A4F">
            <w:pPr>
              <w:jc w:val="center"/>
              <w:rPr>
                <w:sz w:val="18"/>
                <w:szCs w:val="18"/>
              </w:rPr>
            </w:pPr>
            <w:r w:rsidRPr="00C3102F">
              <w:rPr>
                <w:sz w:val="18"/>
                <w:szCs w:val="18"/>
              </w:rPr>
              <w:t>20</w:t>
            </w:r>
          </w:p>
        </w:tc>
        <w:tc>
          <w:tcPr>
            <w:tcW w:w="960" w:type="dxa"/>
            <w:tcBorders>
              <w:bottom w:val="single" w:sz="4" w:space="0" w:color="auto"/>
            </w:tcBorders>
            <w:vAlign w:val="center"/>
          </w:tcPr>
          <w:p w14:paraId="6C6DD833" w14:textId="77777777" w:rsidR="006E0E50" w:rsidRPr="00C3102F" w:rsidRDefault="006E0E50" w:rsidP="003B2A4F">
            <w:pPr>
              <w:jc w:val="center"/>
              <w:rPr>
                <w:sz w:val="18"/>
                <w:szCs w:val="18"/>
              </w:rPr>
            </w:pPr>
            <w:r w:rsidRPr="00C3102F">
              <w:rPr>
                <w:sz w:val="18"/>
                <w:szCs w:val="18"/>
              </w:rPr>
              <w:t>2.05</w:t>
            </w:r>
          </w:p>
        </w:tc>
        <w:tc>
          <w:tcPr>
            <w:tcW w:w="960" w:type="dxa"/>
            <w:tcBorders>
              <w:bottom w:val="single" w:sz="4" w:space="0" w:color="auto"/>
            </w:tcBorders>
            <w:shd w:val="clear" w:color="auto" w:fill="auto"/>
            <w:noWrap/>
            <w:vAlign w:val="center"/>
            <w:hideMark/>
          </w:tcPr>
          <w:p w14:paraId="4D0BFDA2" w14:textId="77777777" w:rsidR="006E0E50" w:rsidRPr="00C3102F" w:rsidRDefault="006E0E50" w:rsidP="003B2A4F">
            <w:pPr>
              <w:jc w:val="center"/>
              <w:rPr>
                <w:sz w:val="18"/>
                <w:szCs w:val="18"/>
              </w:rPr>
            </w:pPr>
          </w:p>
        </w:tc>
        <w:tc>
          <w:tcPr>
            <w:tcW w:w="960" w:type="dxa"/>
            <w:tcBorders>
              <w:bottom w:val="single" w:sz="4" w:space="0" w:color="auto"/>
            </w:tcBorders>
            <w:shd w:val="clear" w:color="auto" w:fill="auto"/>
            <w:noWrap/>
            <w:vAlign w:val="center"/>
            <w:hideMark/>
          </w:tcPr>
          <w:p w14:paraId="600E1946" w14:textId="77777777" w:rsidR="006E0E50" w:rsidRPr="00C3102F" w:rsidRDefault="006E0E50" w:rsidP="003B2A4F">
            <w:pPr>
              <w:jc w:val="center"/>
              <w:rPr>
                <w:sz w:val="18"/>
                <w:szCs w:val="18"/>
              </w:rPr>
            </w:pPr>
            <w:r w:rsidRPr="00C3102F">
              <w:rPr>
                <w:sz w:val="18"/>
                <w:szCs w:val="18"/>
              </w:rPr>
              <w:t>1-5</w:t>
            </w:r>
          </w:p>
        </w:tc>
      </w:tr>
    </w:tbl>
    <w:p w14:paraId="6746DF1A" w14:textId="77777777" w:rsidR="006E0E50" w:rsidRDefault="006E0E50" w:rsidP="006E0E50"/>
    <w:p w14:paraId="24E9DE3C" w14:textId="77777777" w:rsidR="006E0E50" w:rsidRDefault="006E0E50" w:rsidP="000C0D73">
      <w:pPr>
        <w:jc w:val="both"/>
        <w:rPr>
          <w:sz w:val="22"/>
          <w:szCs w:val="22"/>
        </w:rPr>
        <w:sectPr w:rsidR="006E0E50" w:rsidSect="006E0E50">
          <w:type w:val="continuous"/>
          <w:pgSz w:w="12240" w:h="15840"/>
          <w:pgMar w:top="1440" w:right="1440" w:bottom="1440" w:left="1440" w:header="720" w:footer="720" w:gutter="0"/>
          <w:cols w:space="720"/>
          <w:docGrid w:linePitch="360"/>
        </w:sectPr>
      </w:pPr>
    </w:p>
    <w:p w14:paraId="3AFF6BF4" w14:textId="77777777" w:rsidR="006E0E50" w:rsidRDefault="006E0E50" w:rsidP="000C0D73">
      <w:pPr>
        <w:jc w:val="both"/>
        <w:rPr>
          <w:sz w:val="22"/>
          <w:szCs w:val="22"/>
        </w:rPr>
      </w:pPr>
    </w:p>
    <w:p w14:paraId="73DD4668" w14:textId="77777777" w:rsidR="006E0E50" w:rsidRDefault="006E0E50" w:rsidP="000C0D73">
      <w:pPr>
        <w:jc w:val="both"/>
        <w:rPr>
          <w:sz w:val="22"/>
          <w:szCs w:val="22"/>
        </w:rPr>
        <w:sectPr w:rsidR="006E0E50" w:rsidSect="00A074DF">
          <w:type w:val="continuous"/>
          <w:pgSz w:w="12240" w:h="15840"/>
          <w:pgMar w:top="1440" w:right="1440" w:bottom="1440" w:left="1440" w:header="720" w:footer="720" w:gutter="0"/>
          <w:cols w:num="2" w:space="720"/>
          <w:docGrid w:linePitch="360"/>
        </w:sectPr>
      </w:pPr>
    </w:p>
    <w:p w14:paraId="0AE2EAA9" w14:textId="77777777" w:rsidR="00A074DF" w:rsidRPr="00A074DF" w:rsidRDefault="00A074DF" w:rsidP="000C0D73">
      <w:pPr>
        <w:jc w:val="both"/>
        <w:rPr>
          <w:sz w:val="22"/>
          <w:szCs w:val="22"/>
        </w:rPr>
      </w:pPr>
      <w:r w:rsidRPr="00A074DF">
        <w:rPr>
          <w:sz w:val="22"/>
          <w:szCs w:val="22"/>
        </w:rPr>
        <w:lastRenderedPageBreak/>
        <w:t xml:space="preserve">Each session </w:t>
      </w:r>
      <w:proofErr w:type="spellStart"/>
      <w:r w:rsidRPr="00A074DF">
        <w:rPr>
          <w:sz w:val="22"/>
          <w:szCs w:val="22"/>
        </w:rPr>
        <w:t>promotoras</w:t>
      </w:r>
      <w:proofErr w:type="spellEnd"/>
      <w:r w:rsidRPr="00A074DF">
        <w:rPr>
          <w:sz w:val="22"/>
          <w:szCs w:val="22"/>
        </w:rPr>
        <w:t xml:space="preserve"> received tangible incentives of healthy coping strategies such as phone cards that accompany the information they acquire to place in their “comfort basket”, a canvas bag with the ALMA logo that literally and figuratively contains examples of healthy coping tools available to each </w:t>
      </w:r>
      <w:proofErr w:type="spellStart"/>
      <w:r w:rsidRPr="00A074DF">
        <w:rPr>
          <w:sz w:val="22"/>
          <w:szCs w:val="22"/>
        </w:rPr>
        <w:t>promotora</w:t>
      </w:r>
      <w:proofErr w:type="spellEnd"/>
      <w:r w:rsidRPr="00A074DF">
        <w:rPr>
          <w:sz w:val="22"/>
          <w:szCs w:val="22"/>
        </w:rPr>
        <w:t xml:space="preserve">.  The concept of the ALMA comfort basket was inspired by the Women’s Comfort Book </w:t>
      </w:r>
      <w:r w:rsidRPr="00A074DF">
        <w:rPr>
          <w:noProof/>
          <w:sz w:val="22"/>
          <w:szCs w:val="22"/>
        </w:rPr>
        <w:t>(Louden, 1992)</w:t>
      </w:r>
      <w:r w:rsidRPr="00A074DF">
        <w:rPr>
          <w:sz w:val="22"/>
          <w:szCs w:val="22"/>
        </w:rPr>
        <w:t xml:space="preserve">, a self-help book to help women </w:t>
      </w:r>
      <w:r w:rsidRPr="00A074DF">
        <w:rPr>
          <w:sz w:val="22"/>
          <w:szCs w:val="22"/>
        </w:rPr>
        <w:lastRenderedPageBreak/>
        <w:t>identify ways to relieve stress.  Items incorporated into session homework assignments often emphasized family connections such as phone cards, handcrafted gre</w:t>
      </w:r>
      <w:r w:rsidR="000C0D73">
        <w:rPr>
          <w:sz w:val="22"/>
          <w:szCs w:val="22"/>
        </w:rPr>
        <w:t xml:space="preserve">eting cards, and photo albums. </w:t>
      </w:r>
      <w:r w:rsidRPr="00A074DF">
        <w:rPr>
          <w:sz w:val="22"/>
          <w:szCs w:val="22"/>
        </w:rPr>
        <w:t>The literal examples of the comfort basket minimized the challenges posed by limited literacy and were compatible with the interactive format of the sessions and com</w:t>
      </w:r>
      <w:r w:rsidR="000C0D73">
        <w:rPr>
          <w:sz w:val="22"/>
          <w:szCs w:val="22"/>
        </w:rPr>
        <w:t>munalism within Latino culture.</w:t>
      </w:r>
    </w:p>
    <w:p w14:paraId="3E511802" w14:textId="77777777" w:rsidR="00A074DF" w:rsidRPr="00A074DF" w:rsidRDefault="00A074DF" w:rsidP="00A074DF">
      <w:pPr>
        <w:jc w:val="both"/>
        <w:rPr>
          <w:b/>
          <w:sz w:val="22"/>
          <w:szCs w:val="22"/>
        </w:rPr>
      </w:pPr>
      <w:r w:rsidRPr="00A074DF">
        <w:rPr>
          <w:b/>
          <w:sz w:val="22"/>
          <w:szCs w:val="22"/>
        </w:rPr>
        <w:lastRenderedPageBreak/>
        <w:t xml:space="preserve">Part II: Pilot Implementation of Program </w:t>
      </w:r>
    </w:p>
    <w:p w14:paraId="4812CA8F" w14:textId="77777777" w:rsidR="00A074DF" w:rsidRPr="00A074DF" w:rsidRDefault="00A074DF" w:rsidP="00A074DF">
      <w:pPr>
        <w:tabs>
          <w:tab w:val="left" w:pos="2775"/>
        </w:tabs>
        <w:jc w:val="both"/>
        <w:rPr>
          <w:b/>
          <w:sz w:val="22"/>
          <w:szCs w:val="22"/>
        </w:rPr>
      </w:pPr>
      <w:r w:rsidRPr="00A074DF">
        <w:rPr>
          <w:b/>
          <w:sz w:val="22"/>
          <w:szCs w:val="22"/>
        </w:rPr>
        <w:t xml:space="preserve">Participants </w:t>
      </w:r>
    </w:p>
    <w:p w14:paraId="13F1B4E1" w14:textId="77777777" w:rsidR="009E163D" w:rsidRDefault="00A074DF" w:rsidP="000C0D73">
      <w:pPr>
        <w:widowControl w:val="0"/>
        <w:jc w:val="both"/>
        <w:rPr>
          <w:sz w:val="22"/>
          <w:szCs w:val="22"/>
        </w:rPr>
      </w:pPr>
      <w:r w:rsidRPr="00A074DF">
        <w:rPr>
          <w:sz w:val="22"/>
          <w:szCs w:val="22"/>
        </w:rPr>
        <w:t>The project team identified 31 potential participants</w:t>
      </w:r>
      <w:r w:rsidRPr="00A074DF" w:rsidDel="00FA4FE6">
        <w:rPr>
          <w:sz w:val="22"/>
          <w:szCs w:val="22"/>
        </w:rPr>
        <w:t xml:space="preserve"> </w:t>
      </w:r>
      <w:r w:rsidRPr="00A074DF">
        <w:rPr>
          <w:sz w:val="22"/>
          <w:szCs w:val="22"/>
        </w:rPr>
        <w:t xml:space="preserve">through established community contacts including local health fairs (65%), </w:t>
      </w:r>
    </w:p>
    <w:p w14:paraId="3AB4E8EA" w14:textId="77777777" w:rsidR="009E163D" w:rsidRDefault="009E163D" w:rsidP="000C0D73">
      <w:pPr>
        <w:widowControl w:val="0"/>
        <w:jc w:val="both"/>
        <w:rPr>
          <w:sz w:val="22"/>
          <w:szCs w:val="22"/>
        </w:rPr>
      </w:pPr>
    </w:p>
    <w:p w14:paraId="4958364B" w14:textId="77777777" w:rsidR="00A074DF" w:rsidRPr="00A074DF" w:rsidRDefault="00A074DF" w:rsidP="000C0D73">
      <w:pPr>
        <w:widowControl w:val="0"/>
        <w:jc w:val="both"/>
        <w:rPr>
          <w:sz w:val="22"/>
          <w:szCs w:val="22"/>
        </w:rPr>
      </w:pPr>
      <w:proofErr w:type="gramStart"/>
      <w:r w:rsidRPr="00A074DF">
        <w:rPr>
          <w:sz w:val="22"/>
          <w:szCs w:val="22"/>
        </w:rPr>
        <w:lastRenderedPageBreak/>
        <w:t>Latino serving agencies (19%), and participant referral (16%).</w:t>
      </w:r>
      <w:proofErr w:type="gramEnd"/>
      <w:r w:rsidRPr="00A074DF">
        <w:rPr>
          <w:sz w:val="22"/>
          <w:szCs w:val="22"/>
        </w:rPr>
        <w:t xml:space="preserve">  Twenty Latinas were recruited and consented to participate in the ALMA pilot training. Participants received a $20 stipend for each of the ten sessions</w:t>
      </w:r>
      <w:r w:rsidR="000C0D73">
        <w:rPr>
          <w:sz w:val="22"/>
          <w:szCs w:val="22"/>
        </w:rPr>
        <w:t xml:space="preserve"> attended.</w:t>
      </w:r>
    </w:p>
    <w:p w14:paraId="5827BA8E" w14:textId="77777777" w:rsidR="000C0D73" w:rsidRDefault="000C0D73" w:rsidP="000C0D73">
      <w:pPr>
        <w:widowControl w:val="0"/>
        <w:jc w:val="both"/>
        <w:rPr>
          <w:sz w:val="22"/>
          <w:szCs w:val="22"/>
        </w:rPr>
      </w:pPr>
    </w:p>
    <w:p w14:paraId="072CB53A" w14:textId="77777777" w:rsidR="0026241E" w:rsidRDefault="0026241E" w:rsidP="000C0D73">
      <w:pPr>
        <w:widowControl w:val="0"/>
        <w:jc w:val="both"/>
        <w:rPr>
          <w:sz w:val="22"/>
          <w:szCs w:val="22"/>
        </w:rPr>
        <w:sectPr w:rsidR="0026241E" w:rsidSect="00A074DF">
          <w:type w:val="continuous"/>
          <w:pgSz w:w="12240" w:h="15840"/>
          <w:pgMar w:top="1440" w:right="1440" w:bottom="1440" w:left="1440" w:header="720" w:footer="720" w:gutter="0"/>
          <w:cols w:num="2" w:space="720"/>
          <w:docGrid w:linePitch="360"/>
        </w:sectPr>
      </w:pPr>
    </w:p>
    <w:p w14:paraId="59312B2A" w14:textId="77777777" w:rsidR="0026241E" w:rsidRPr="0026241E" w:rsidRDefault="0026241E" w:rsidP="0026241E">
      <w:pPr>
        <w:tabs>
          <w:tab w:val="left" w:pos="2775"/>
        </w:tabs>
        <w:contextualSpacing/>
        <w:jc w:val="center"/>
        <w:rPr>
          <w:b/>
          <w:sz w:val="22"/>
          <w:szCs w:val="22"/>
        </w:rPr>
      </w:pPr>
      <w:r w:rsidRPr="0026241E">
        <w:rPr>
          <w:b/>
          <w:sz w:val="22"/>
          <w:szCs w:val="22"/>
        </w:rPr>
        <w:lastRenderedPageBreak/>
        <w:t>Table 3</w:t>
      </w:r>
    </w:p>
    <w:p w14:paraId="4E51D3D5" w14:textId="77777777" w:rsidR="0026241E" w:rsidRDefault="0026241E" w:rsidP="0026241E">
      <w:pPr>
        <w:tabs>
          <w:tab w:val="left" w:pos="2775"/>
        </w:tabs>
        <w:contextualSpacing/>
        <w:rPr>
          <w:b/>
        </w:rPr>
      </w:pPr>
    </w:p>
    <w:p w14:paraId="34386999" w14:textId="77777777" w:rsidR="0026241E" w:rsidRPr="00533034" w:rsidRDefault="0026241E" w:rsidP="0026241E">
      <w:pPr>
        <w:tabs>
          <w:tab w:val="left" w:pos="2775"/>
        </w:tabs>
        <w:ind w:firstLine="180"/>
        <w:contextualSpacing/>
        <w:rPr>
          <w:sz w:val="18"/>
          <w:szCs w:val="18"/>
          <w:u w:val="single"/>
        </w:rPr>
      </w:pPr>
      <w:r w:rsidRPr="00533034">
        <w:rPr>
          <w:b/>
          <w:sz w:val="18"/>
          <w:szCs w:val="18"/>
        </w:rPr>
        <w:t>Stress Relieving Activities Identified in ALMA</w:t>
      </w:r>
    </w:p>
    <w:tbl>
      <w:tblPr>
        <w:tblW w:w="0" w:type="auto"/>
        <w:jc w:val="center"/>
        <w:tblBorders>
          <w:top w:val="single" w:sz="4" w:space="0" w:color="auto"/>
          <w:bottom w:val="single" w:sz="4" w:space="0" w:color="auto"/>
        </w:tblBorders>
        <w:tblLook w:val="04A0" w:firstRow="1" w:lastRow="0" w:firstColumn="1" w:lastColumn="0" w:noHBand="0" w:noVBand="1"/>
      </w:tblPr>
      <w:tblGrid>
        <w:gridCol w:w="3082"/>
        <w:gridCol w:w="3082"/>
        <w:gridCol w:w="3082"/>
      </w:tblGrid>
      <w:tr w:rsidR="0026241E" w:rsidRPr="00533034" w14:paraId="70F77E3E" w14:textId="77777777" w:rsidTr="0026241E">
        <w:trPr>
          <w:trHeight w:val="133"/>
          <w:jc w:val="center"/>
        </w:trPr>
        <w:tc>
          <w:tcPr>
            <w:tcW w:w="3082" w:type="dxa"/>
            <w:tcBorders>
              <w:top w:val="single" w:sz="4" w:space="0" w:color="auto"/>
              <w:bottom w:val="single" w:sz="4" w:space="0" w:color="auto"/>
            </w:tcBorders>
            <w:shd w:val="clear" w:color="auto" w:fill="auto"/>
          </w:tcPr>
          <w:p w14:paraId="7337D68A" w14:textId="77777777" w:rsidR="0026241E" w:rsidRPr="00533034" w:rsidRDefault="0026241E" w:rsidP="003B2A4F">
            <w:pPr>
              <w:tabs>
                <w:tab w:val="left" w:pos="2775"/>
              </w:tabs>
              <w:contextualSpacing/>
              <w:jc w:val="center"/>
              <w:rPr>
                <w:b/>
                <w:sz w:val="18"/>
                <w:szCs w:val="18"/>
              </w:rPr>
            </w:pPr>
            <w:r w:rsidRPr="00533034">
              <w:rPr>
                <w:b/>
                <w:sz w:val="18"/>
                <w:szCs w:val="18"/>
              </w:rPr>
              <w:t>Wave 1: Current Self-Help Strategies</w:t>
            </w:r>
          </w:p>
        </w:tc>
        <w:tc>
          <w:tcPr>
            <w:tcW w:w="3082" w:type="dxa"/>
            <w:tcBorders>
              <w:top w:val="single" w:sz="4" w:space="0" w:color="auto"/>
              <w:bottom w:val="single" w:sz="4" w:space="0" w:color="auto"/>
            </w:tcBorders>
            <w:shd w:val="clear" w:color="auto" w:fill="auto"/>
          </w:tcPr>
          <w:p w14:paraId="402E62AB" w14:textId="77777777" w:rsidR="0026241E" w:rsidRPr="00533034" w:rsidRDefault="0026241E" w:rsidP="003B2A4F">
            <w:pPr>
              <w:tabs>
                <w:tab w:val="left" w:pos="2775"/>
              </w:tabs>
              <w:contextualSpacing/>
              <w:jc w:val="center"/>
              <w:rPr>
                <w:b/>
                <w:sz w:val="18"/>
                <w:szCs w:val="18"/>
              </w:rPr>
            </w:pPr>
            <w:r w:rsidRPr="00533034">
              <w:rPr>
                <w:b/>
                <w:sz w:val="18"/>
                <w:szCs w:val="18"/>
              </w:rPr>
              <w:t>Wave 2: New Coping Strategies</w:t>
            </w:r>
          </w:p>
        </w:tc>
        <w:tc>
          <w:tcPr>
            <w:tcW w:w="3082" w:type="dxa"/>
            <w:tcBorders>
              <w:top w:val="single" w:sz="4" w:space="0" w:color="auto"/>
              <w:bottom w:val="single" w:sz="4" w:space="0" w:color="auto"/>
            </w:tcBorders>
            <w:shd w:val="clear" w:color="auto" w:fill="auto"/>
          </w:tcPr>
          <w:p w14:paraId="4E8C21BF" w14:textId="77777777" w:rsidR="0026241E" w:rsidRPr="00533034" w:rsidRDefault="0026241E" w:rsidP="003B2A4F">
            <w:pPr>
              <w:tabs>
                <w:tab w:val="left" w:pos="2775"/>
              </w:tabs>
              <w:contextualSpacing/>
              <w:jc w:val="center"/>
              <w:rPr>
                <w:b/>
                <w:sz w:val="18"/>
                <w:szCs w:val="18"/>
              </w:rPr>
            </w:pPr>
            <w:r w:rsidRPr="00533034">
              <w:rPr>
                <w:b/>
                <w:sz w:val="18"/>
                <w:szCs w:val="18"/>
              </w:rPr>
              <w:t>Wave 3: Mental Health and Other Professionals</w:t>
            </w:r>
          </w:p>
        </w:tc>
      </w:tr>
      <w:tr w:rsidR="0026241E" w:rsidRPr="00533034" w14:paraId="27ACE42A" w14:textId="77777777" w:rsidTr="0026241E">
        <w:trPr>
          <w:trHeight w:val="4400"/>
          <w:jc w:val="center"/>
        </w:trPr>
        <w:tc>
          <w:tcPr>
            <w:tcW w:w="3082" w:type="dxa"/>
            <w:tcBorders>
              <w:top w:val="single" w:sz="4" w:space="0" w:color="auto"/>
            </w:tcBorders>
            <w:shd w:val="clear" w:color="auto" w:fill="auto"/>
          </w:tcPr>
          <w:p w14:paraId="61B2F2E7" w14:textId="77777777" w:rsidR="0026241E" w:rsidRPr="00533034" w:rsidRDefault="0026241E" w:rsidP="0026241E">
            <w:pPr>
              <w:numPr>
                <w:ilvl w:val="0"/>
                <w:numId w:val="1"/>
              </w:numPr>
              <w:spacing w:after="200"/>
              <w:rPr>
                <w:sz w:val="18"/>
                <w:szCs w:val="18"/>
              </w:rPr>
            </w:pPr>
            <w:r w:rsidRPr="00533034">
              <w:rPr>
                <w:sz w:val="18"/>
                <w:szCs w:val="18"/>
              </w:rPr>
              <w:t>Taking free classes (i.e. English and computer classes) at local community college</w:t>
            </w:r>
          </w:p>
          <w:p w14:paraId="291D74CA" w14:textId="77777777" w:rsidR="0026241E" w:rsidRPr="00533034" w:rsidRDefault="0026241E" w:rsidP="0026241E">
            <w:pPr>
              <w:numPr>
                <w:ilvl w:val="0"/>
                <w:numId w:val="1"/>
              </w:numPr>
              <w:spacing w:after="200"/>
              <w:rPr>
                <w:sz w:val="18"/>
                <w:szCs w:val="18"/>
              </w:rPr>
            </w:pPr>
            <w:r w:rsidRPr="00533034">
              <w:rPr>
                <w:sz w:val="18"/>
                <w:szCs w:val="18"/>
              </w:rPr>
              <w:t>Taking a walk or other exercise</w:t>
            </w:r>
          </w:p>
          <w:p w14:paraId="6A16404C" w14:textId="77777777" w:rsidR="0026241E" w:rsidRPr="00533034" w:rsidRDefault="0026241E" w:rsidP="0026241E">
            <w:pPr>
              <w:numPr>
                <w:ilvl w:val="0"/>
                <w:numId w:val="1"/>
              </w:numPr>
              <w:spacing w:after="200"/>
              <w:rPr>
                <w:sz w:val="18"/>
                <w:szCs w:val="18"/>
              </w:rPr>
            </w:pPr>
            <w:r w:rsidRPr="00533034">
              <w:rPr>
                <w:sz w:val="18"/>
                <w:szCs w:val="18"/>
              </w:rPr>
              <w:t>Playing with children</w:t>
            </w:r>
          </w:p>
          <w:p w14:paraId="72AD986B" w14:textId="77777777" w:rsidR="0026241E" w:rsidRPr="00533034" w:rsidRDefault="0026241E" w:rsidP="0026241E">
            <w:pPr>
              <w:numPr>
                <w:ilvl w:val="0"/>
                <w:numId w:val="1"/>
              </w:numPr>
              <w:spacing w:after="200"/>
              <w:rPr>
                <w:sz w:val="18"/>
                <w:szCs w:val="18"/>
              </w:rPr>
            </w:pPr>
            <w:r w:rsidRPr="00533034">
              <w:rPr>
                <w:sz w:val="18"/>
                <w:szCs w:val="18"/>
              </w:rPr>
              <w:t>Listening to music</w:t>
            </w:r>
          </w:p>
          <w:p w14:paraId="08BD47E5" w14:textId="77777777" w:rsidR="0026241E" w:rsidRPr="00533034" w:rsidRDefault="0026241E" w:rsidP="0026241E">
            <w:pPr>
              <w:numPr>
                <w:ilvl w:val="0"/>
                <w:numId w:val="1"/>
              </w:numPr>
              <w:spacing w:after="200"/>
              <w:rPr>
                <w:sz w:val="18"/>
                <w:szCs w:val="18"/>
              </w:rPr>
            </w:pPr>
            <w:r w:rsidRPr="00533034">
              <w:rPr>
                <w:sz w:val="18"/>
                <w:szCs w:val="18"/>
              </w:rPr>
              <w:t>Shopping</w:t>
            </w:r>
          </w:p>
          <w:p w14:paraId="607BDBF4" w14:textId="77777777" w:rsidR="0026241E" w:rsidRPr="00533034" w:rsidRDefault="0026241E" w:rsidP="0026241E">
            <w:pPr>
              <w:numPr>
                <w:ilvl w:val="0"/>
                <w:numId w:val="1"/>
              </w:numPr>
              <w:spacing w:after="200"/>
              <w:rPr>
                <w:sz w:val="18"/>
                <w:szCs w:val="18"/>
              </w:rPr>
            </w:pPr>
            <w:r w:rsidRPr="00533034">
              <w:rPr>
                <w:sz w:val="18"/>
                <w:szCs w:val="18"/>
              </w:rPr>
              <w:t>Watching television or movies</w:t>
            </w:r>
          </w:p>
          <w:p w14:paraId="0AB20F96" w14:textId="77777777" w:rsidR="0026241E" w:rsidRPr="00533034" w:rsidRDefault="0026241E" w:rsidP="0026241E">
            <w:pPr>
              <w:numPr>
                <w:ilvl w:val="0"/>
                <w:numId w:val="1"/>
              </w:numPr>
              <w:spacing w:after="200"/>
              <w:rPr>
                <w:sz w:val="18"/>
                <w:szCs w:val="18"/>
              </w:rPr>
            </w:pPr>
            <w:r w:rsidRPr="00533034">
              <w:rPr>
                <w:sz w:val="18"/>
                <w:szCs w:val="18"/>
              </w:rPr>
              <w:t>Gardening</w:t>
            </w:r>
          </w:p>
          <w:p w14:paraId="6C0CAF34" w14:textId="77777777" w:rsidR="0026241E" w:rsidRPr="00533034" w:rsidRDefault="0026241E" w:rsidP="0026241E">
            <w:pPr>
              <w:numPr>
                <w:ilvl w:val="0"/>
                <w:numId w:val="1"/>
              </w:numPr>
              <w:spacing w:after="200"/>
              <w:rPr>
                <w:sz w:val="18"/>
                <w:szCs w:val="18"/>
              </w:rPr>
            </w:pPr>
            <w:r w:rsidRPr="00533034">
              <w:rPr>
                <w:sz w:val="18"/>
                <w:szCs w:val="18"/>
              </w:rPr>
              <w:t>Cooking/Baking</w:t>
            </w:r>
          </w:p>
          <w:p w14:paraId="3DAA4332" w14:textId="77777777" w:rsidR="0026241E" w:rsidRPr="00533034" w:rsidRDefault="0026241E" w:rsidP="0026241E">
            <w:pPr>
              <w:numPr>
                <w:ilvl w:val="0"/>
                <w:numId w:val="1"/>
              </w:numPr>
              <w:spacing w:after="200"/>
              <w:rPr>
                <w:sz w:val="18"/>
                <w:szCs w:val="18"/>
              </w:rPr>
            </w:pPr>
            <w:r w:rsidRPr="00533034">
              <w:rPr>
                <w:sz w:val="18"/>
                <w:szCs w:val="18"/>
              </w:rPr>
              <w:t>Friends/family</w:t>
            </w:r>
          </w:p>
          <w:p w14:paraId="47E09ED2" w14:textId="77777777" w:rsidR="0026241E" w:rsidRPr="00533034" w:rsidRDefault="0026241E" w:rsidP="003B2A4F">
            <w:pPr>
              <w:numPr>
                <w:ilvl w:val="0"/>
                <w:numId w:val="1"/>
              </w:numPr>
              <w:contextualSpacing/>
              <w:rPr>
                <w:sz w:val="18"/>
                <w:szCs w:val="18"/>
              </w:rPr>
            </w:pPr>
            <w:r w:rsidRPr="00533034">
              <w:rPr>
                <w:sz w:val="18"/>
                <w:szCs w:val="18"/>
              </w:rPr>
              <w:t>Praying</w:t>
            </w:r>
          </w:p>
        </w:tc>
        <w:tc>
          <w:tcPr>
            <w:tcW w:w="3082" w:type="dxa"/>
            <w:tcBorders>
              <w:top w:val="single" w:sz="4" w:space="0" w:color="auto"/>
            </w:tcBorders>
            <w:shd w:val="clear" w:color="auto" w:fill="auto"/>
          </w:tcPr>
          <w:p w14:paraId="0F39A6F9" w14:textId="77777777" w:rsidR="0026241E" w:rsidRPr="00533034" w:rsidRDefault="0026241E" w:rsidP="003B2A4F">
            <w:pPr>
              <w:pStyle w:val="ListParagraph"/>
              <w:numPr>
                <w:ilvl w:val="0"/>
                <w:numId w:val="1"/>
              </w:numPr>
              <w:tabs>
                <w:tab w:val="left" w:pos="2775"/>
              </w:tabs>
              <w:spacing w:line="240" w:lineRule="auto"/>
              <w:contextualSpacing w:val="0"/>
              <w:rPr>
                <w:rFonts w:ascii="Times New Roman" w:hAnsi="Times New Roman"/>
                <w:sz w:val="18"/>
                <w:szCs w:val="18"/>
              </w:rPr>
            </w:pPr>
            <w:r w:rsidRPr="00533034">
              <w:rPr>
                <w:rFonts w:ascii="Times New Roman" w:hAnsi="Times New Roman"/>
                <w:sz w:val="18"/>
                <w:szCs w:val="18"/>
              </w:rPr>
              <w:t>Phone cards</w:t>
            </w:r>
          </w:p>
          <w:p w14:paraId="31C75947" w14:textId="77777777" w:rsidR="0026241E" w:rsidRPr="00533034" w:rsidRDefault="0026241E" w:rsidP="003B2A4F">
            <w:pPr>
              <w:pStyle w:val="ListParagraph"/>
              <w:numPr>
                <w:ilvl w:val="0"/>
                <w:numId w:val="1"/>
              </w:numPr>
              <w:tabs>
                <w:tab w:val="left" w:pos="2775"/>
              </w:tabs>
              <w:spacing w:line="240" w:lineRule="auto"/>
              <w:contextualSpacing w:val="0"/>
              <w:rPr>
                <w:rFonts w:ascii="Times New Roman" w:hAnsi="Times New Roman"/>
                <w:sz w:val="18"/>
                <w:szCs w:val="18"/>
              </w:rPr>
            </w:pPr>
            <w:r w:rsidRPr="00533034">
              <w:rPr>
                <w:rFonts w:ascii="Times New Roman" w:hAnsi="Times New Roman"/>
                <w:sz w:val="18"/>
                <w:szCs w:val="18"/>
              </w:rPr>
              <w:t xml:space="preserve">Handcrafted greeting cards </w:t>
            </w:r>
          </w:p>
          <w:p w14:paraId="47B8C2D2" w14:textId="77777777" w:rsidR="0026241E" w:rsidRPr="00533034" w:rsidRDefault="0026241E" w:rsidP="003B2A4F">
            <w:pPr>
              <w:pStyle w:val="ListParagraph"/>
              <w:numPr>
                <w:ilvl w:val="0"/>
                <w:numId w:val="1"/>
              </w:numPr>
              <w:tabs>
                <w:tab w:val="left" w:pos="2775"/>
              </w:tabs>
              <w:spacing w:line="240" w:lineRule="auto"/>
              <w:contextualSpacing w:val="0"/>
              <w:rPr>
                <w:rFonts w:ascii="Times New Roman" w:hAnsi="Times New Roman"/>
                <w:sz w:val="18"/>
                <w:szCs w:val="18"/>
              </w:rPr>
            </w:pPr>
            <w:r w:rsidRPr="00533034">
              <w:rPr>
                <w:rFonts w:ascii="Times New Roman" w:hAnsi="Times New Roman"/>
                <w:sz w:val="18"/>
                <w:szCs w:val="18"/>
              </w:rPr>
              <w:t>Photo albums</w:t>
            </w:r>
          </w:p>
          <w:p w14:paraId="1616DDD0" w14:textId="77777777" w:rsidR="0026241E" w:rsidRPr="00533034" w:rsidRDefault="0026241E" w:rsidP="003B2A4F">
            <w:pPr>
              <w:pStyle w:val="ListParagraph"/>
              <w:numPr>
                <w:ilvl w:val="0"/>
                <w:numId w:val="1"/>
              </w:numPr>
              <w:tabs>
                <w:tab w:val="left" w:pos="2775"/>
              </w:tabs>
              <w:spacing w:line="240" w:lineRule="auto"/>
              <w:contextualSpacing w:val="0"/>
              <w:rPr>
                <w:rFonts w:ascii="Times New Roman" w:hAnsi="Times New Roman"/>
                <w:sz w:val="18"/>
                <w:szCs w:val="18"/>
              </w:rPr>
            </w:pPr>
            <w:r w:rsidRPr="00533034">
              <w:rPr>
                <w:rFonts w:ascii="Times New Roman" w:hAnsi="Times New Roman"/>
                <w:sz w:val="18"/>
                <w:szCs w:val="18"/>
              </w:rPr>
              <w:t xml:space="preserve">Yoga </w:t>
            </w:r>
          </w:p>
          <w:p w14:paraId="06484125" w14:textId="77777777" w:rsidR="0026241E" w:rsidRPr="00533034" w:rsidRDefault="0026241E" w:rsidP="003B2A4F">
            <w:pPr>
              <w:pStyle w:val="ListParagraph"/>
              <w:numPr>
                <w:ilvl w:val="0"/>
                <w:numId w:val="1"/>
              </w:numPr>
              <w:tabs>
                <w:tab w:val="left" w:pos="2775"/>
              </w:tabs>
              <w:spacing w:line="240" w:lineRule="auto"/>
              <w:contextualSpacing w:val="0"/>
              <w:rPr>
                <w:rFonts w:ascii="Times New Roman" w:hAnsi="Times New Roman"/>
                <w:sz w:val="18"/>
                <w:szCs w:val="18"/>
              </w:rPr>
            </w:pPr>
            <w:r w:rsidRPr="00533034">
              <w:rPr>
                <w:rFonts w:ascii="Times New Roman" w:hAnsi="Times New Roman"/>
                <w:sz w:val="18"/>
                <w:szCs w:val="18"/>
              </w:rPr>
              <w:t>Journaling</w:t>
            </w:r>
          </w:p>
          <w:p w14:paraId="1CF7CDFC" w14:textId="77777777" w:rsidR="0026241E" w:rsidRPr="00533034" w:rsidRDefault="0026241E" w:rsidP="003B2A4F">
            <w:pPr>
              <w:pStyle w:val="ListParagraph"/>
              <w:numPr>
                <w:ilvl w:val="0"/>
                <w:numId w:val="1"/>
              </w:numPr>
              <w:tabs>
                <w:tab w:val="left" w:pos="2775"/>
              </w:tabs>
              <w:spacing w:line="240" w:lineRule="auto"/>
              <w:contextualSpacing w:val="0"/>
              <w:rPr>
                <w:rFonts w:ascii="Times New Roman" w:hAnsi="Times New Roman"/>
                <w:sz w:val="18"/>
                <w:szCs w:val="18"/>
              </w:rPr>
            </w:pPr>
            <w:r w:rsidRPr="00533034">
              <w:rPr>
                <w:rFonts w:ascii="Times New Roman" w:hAnsi="Times New Roman"/>
                <w:sz w:val="18"/>
                <w:szCs w:val="18"/>
              </w:rPr>
              <w:t>Meditation</w:t>
            </w:r>
          </w:p>
          <w:p w14:paraId="69A5F018" w14:textId="77777777" w:rsidR="0026241E" w:rsidRPr="00533034" w:rsidRDefault="0026241E" w:rsidP="003B2A4F">
            <w:pPr>
              <w:pStyle w:val="ListParagraph"/>
              <w:numPr>
                <w:ilvl w:val="0"/>
                <w:numId w:val="1"/>
              </w:numPr>
              <w:tabs>
                <w:tab w:val="left" w:pos="2775"/>
              </w:tabs>
              <w:spacing w:line="240" w:lineRule="auto"/>
              <w:contextualSpacing w:val="0"/>
              <w:rPr>
                <w:rFonts w:ascii="Times New Roman" w:hAnsi="Times New Roman"/>
                <w:sz w:val="18"/>
                <w:szCs w:val="18"/>
              </w:rPr>
            </w:pPr>
            <w:r w:rsidRPr="00533034">
              <w:rPr>
                <w:rFonts w:ascii="Times New Roman" w:hAnsi="Times New Roman"/>
                <w:sz w:val="18"/>
                <w:szCs w:val="18"/>
              </w:rPr>
              <w:t xml:space="preserve">Expanding social network to  ALMA </w:t>
            </w:r>
            <w:proofErr w:type="spellStart"/>
            <w:r w:rsidRPr="00533034">
              <w:rPr>
                <w:rFonts w:ascii="Times New Roman" w:hAnsi="Times New Roman"/>
                <w:sz w:val="18"/>
                <w:szCs w:val="18"/>
              </w:rPr>
              <w:t>promotoras</w:t>
            </w:r>
            <w:proofErr w:type="spellEnd"/>
          </w:p>
          <w:p w14:paraId="1DF8C7B9" w14:textId="77777777" w:rsidR="0026241E" w:rsidRPr="00533034" w:rsidRDefault="0026241E" w:rsidP="003B2A4F">
            <w:pPr>
              <w:pStyle w:val="ListParagraph"/>
              <w:numPr>
                <w:ilvl w:val="0"/>
                <w:numId w:val="1"/>
              </w:numPr>
              <w:tabs>
                <w:tab w:val="left" w:pos="2775"/>
              </w:tabs>
              <w:spacing w:line="240" w:lineRule="auto"/>
              <w:contextualSpacing w:val="0"/>
              <w:rPr>
                <w:rFonts w:ascii="Times New Roman" w:hAnsi="Times New Roman"/>
                <w:sz w:val="18"/>
                <w:szCs w:val="18"/>
              </w:rPr>
            </w:pPr>
            <w:proofErr w:type="spellStart"/>
            <w:r w:rsidRPr="00533034">
              <w:rPr>
                <w:rFonts w:ascii="Times New Roman" w:hAnsi="Times New Roman"/>
                <w:sz w:val="18"/>
                <w:szCs w:val="18"/>
              </w:rPr>
              <w:t>Loteria</w:t>
            </w:r>
            <w:proofErr w:type="spellEnd"/>
            <w:r w:rsidRPr="00533034">
              <w:rPr>
                <w:rFonts w:ascii="Times New Roman" w:hAnsi="Times New Roman"/>
                <w:sz w:val="18"/>
                <w:szCs w:val="18"/>
              </w:rPr>
              <w:t xml:space="preserve"> (healthy coping bingo)</w:t>
            </w:r>
          </w:p>
        </w:tc>
        <w:tc>
          <w:tcPr>
            <w:tcW w:w="3082" w:type="dxa"/>
            <w:tcBorders>
              <w:top w:val="single" w:sz="4" w:space="0" w:color="auto"/>
            </w:tcBorders>
            <w:shd w:val="clear" w:color="auto" w:fill="auto"/>
          </w:tcPr>
          <w:p w14:paraId="6C12D979" w14:textId="77777777" w:rsidR="0026241E" w:rsidRPr="00533034" w:rsidRDefault="0026241E" w:rsidP="003B2A4F">
            <w:pPr>
              <w:pStyle w:val="ListParagraph"/>
              <w:numPr>
                <w:ilvl w:val="0"/>
                <w:numId w:val="1"/>
              </w:numPr>
              <w:tabs>
                <w:tab w:val="left" w:pos="2775"/>
              </w:tabs>
              <w:spacing w:line="240" w:lineRule="auto"/>
              <w:contextualSpacing w:val="0"/>
              <w:rPr>
                <w:rFonts w:ascii="Times New Roman" w:hAnsi="Times New Roman"/>
                <w:sz w:val="18"/>
                <w:szCs w:val="18"/>
              </w:rPr>
            </w:pPr>
            <w:r w:rsidRPr="00533034">
              <w:rPr>
                <w:rFonts w:ascii="Times New Roman" w:hAnsi="Times New Roman"/>
                <w:sz w:val="18"/>
                <w:szCs w:val="18"/>
              </w:rPr>
              <w:t>Mental health professionals (social workers, psychologists, psychiatrists)</w:t>
            </w:r>
          </w:p>
          <w:p w14:paraId="2A2DEBEC" w14:textId="77777777" w:rsidR="0026241E" w:rsidRPr="00533034" w:rsidRDefault="0026241E" w:rsidP="003B2A4F">
            <w:pPr>
              <w:pStyle w:val="ListParagraph"/>
              <w:numPr>
                <w:ilvl w:val="0"/>
                <w:numId w:val="1"/>
              </w:numPr>
              <w:tabs>
                <w:tab w:val="left" w:pos="2775"/>
              </w:tabs>
              <w:spacing w:line="240" w:lineRule="auto"/>
              <w:contextualSpacing w:val="0"/>
              <w:rPr>
                <w:rFonts w:ascii="Times New Roman" w:hAnsi="Times New Roman"/>
                <w:sz w:val="18"/>
                <w:szCs w:val="18"/>
              </w:rPr>
            </w:pPr>
            <w:r w:rsidRPr="00533034">
              <w:rPr>
                <w:rFonts w:ascii="Times New Roman" w:hAnsi="Times New Roman"/>
                <w:sz w:val="18"/>
                <w:szCs w:val="18"/>
              </w:rPr>
              <w:t>Clergy</w:t>
            </w:r>
          </w:p>
          <w:p w14:paraId="3EC0850A" w14:textId="77777777" w:rsidR="0026241E" w:rsidRPr="00533034" w:rsidRDefault="0026241E" w:rsidP="003B2A4F">
            <w:pPr>
              <w:pStyle w:val="ListParagraph"/>
              <w:numPr>
                <w:ilvl w:val="0"/>
                <w:numId w:val="1"/>
              </w:numPr>
              <w:tabs>
                <w:tab w:val="left" w:pos="2775"/>
              </w:tabs>
              <w:spacing w:line="240" w:lineRule="auto"/>
              <w:contextualSpacing w:val="0"/>
              <w:rPr>
                <w:rFonts w:ascii="Times New Roman" w:hAnsi="Times New Roman"/>
                <w:sz w:val="18"/>
                <w:szCs w:val="18"/>
              </w:rPr>
            </w:pPr>
            <w:r w:rsidRPr="00533034">
              <w:rPr>
                <w:rFonts w:ascii="Times New Roman" w:hAnsi="Times New Roman"/>
                <w:sz w:val="18"/>
                <w:szCs w:val="18"/>
              </w:rPr>
              <w:t>Public School System (ESL liaison, family specialists)</w:t>
            </w:r>
          </w:p>
          <w:p w14:paraId="7ABCB555" w14:textId="77777777" w:rsidR="0026241E" w:rsidRPr="00533034" w:rsidRDefault="0026241E" w:rsidP="003B2A4F">
            <w:pPr>
              <w:pStyle w:val="ListParagraph"/>
              <w:numPr>
                <w:ilvl w:val="0"/>
                <w:numId w:val="1"/>
              </w:numPr>
              <w:tabs>
                <w:tab w:val="left" w:pos="2775"/>
              </w:tabs>
              <w:spacing w:line="240" w:lineRule="auto"/>
              <w:contextualSpacing w:val="0"/>
              <w:rPr>
                <w:rFonts w:ascii="Times New Roman" w:hAnsi="Times New Roman"/>
                <w:sz w:val="18"/>
                <w:szCs w:val="18"/>
              </w:rPr>
            </w:pPr>
            <w:r w:rsidRPr="00533034">
              <w:rPr>
                <w:rFonts w:ascii="Times New Roman" w:hAnsi="Times New Roman"/>
                <w:sz w:val="18"/>
                <w:szCs w:val="18"/>
              </w:rPr>
              <w:t>Domestic Violence Center</w:t>
            </w:r>
          </w:p>
          <w:p w14:paraId="348582E1" w14:textId="77777777" w:rsidR="0026241E" w:rsidRPr="00533034" w:rsidRDefault="0026241E" w:rsidP="003B2A4F">
            <w:pPr>
              <w:pStyle w:val="ListParagraph"/>
              <w:numPr>
                <w:ilvl w:val="0"/>
                <w:numId w:val="1"/>
              </w:numPr>
              <w:tabs>
                <w:tab w:val="left" w:pos="2775"/>
              </w:tabs>
              <w:spacing w:line="240" w:lineRule="auto"/>
              <w:contextualSpacing w:val="0"/>
              <w:rPr>
                <w:rFonts w:ascii="Times New Roman" w:hAnsi="Times New Roman"/>
                <w:sz w:val="18"/>
                <w:szCs w:val="18"/>
              </w:rPr>
            </w:pPr>
            <w:r w:rsidRPr="00533034">
              <w:rPr>
                <w:rFonts w:ascii="Times New Roman" w:hAnsi="Times New Roman"/>
                <w:sz w:val="18"/>
                <w:szCs w:val="18"/>
              </w:rPr>
              <w:t>Mediation Resources</w:t>
            </w:r>
          </w:p>
          <w:p w14:paraId="00FAB51A" w14:textId="77777777" w:rsidR="0026241E" w:rsidRPr="00533034" w:rsidRDefault="0026241E" w:rsidP="003B2A4F">
            <w:pPr>
              <w:pStyle w:val="ListParagraph"/>
              <w:numPr>
                <w:ilvl w:val="0"/>
                <w:numId w:val="1"/>
              </w:numPr>
              <w:tabs>
                <w:tab w:val="left" w:pos="2775"/>
              </w:tabs>
              <w:spacing w:line="240" w:lineRule="auto"/>
              <w:contextualSpacing w:val="0"/>
              <w:rPr>
                <w:rFonts w:ascii="Times New Roman" w:hAnsi="Times New Roman"/>
                <w:sz w:val="18"/>
                <w:szCs w:val="18"/>
              </w:rPr>
            </w:pPr>
            <w:r w:rsidRPr="00533034">
              <w:rPr>
                <w:rFonts w:ascii="Times New Roman" w:hAnsi="Times New Roman"/>
                <w:sz w:val="18"/>
                <w:szCs w:val="18"/>
              </w:rPr>
              <w:t>Community agencies and resources (Parks and Recreation, Catholic Charities)</w:t>
            </w:r>
          </w:p>
          <w:p w14:paraId="2D02653D" w14:textId="77777777" w:rsidR="0026241E" w:rsidRPr="00533034" w:rsidRDefault="0026241E" w:rsidP="003B2A4F">
            <w:pPr>
              <w:pStyle w:val="ListParagraph"/>
              <w:tabs>
                <w:tab w:val="left" w:pos="2775"/>
              </w:tabs>
              <w:spacing w:line="240" w:lineRule="auto"/>
              <w:ind w:left="360"/>
              <w:rPr>
                <w:rFonts w:ascii="Times New Roman" w:hAnsi="Times New Roman"/>
                <w:sz w:val="18"/>
                <w:szCs w:val="18"/>
              </w:rPr>
            </w:pPr>
          </w:p>
          <w:p w14:paraId="4FF290E1" w14:textId="77777777" w:rsidR="0026241E" w:rsidRPr="00533034" w:rsidRDefault="0026241E" w:rsidP="003B2A4F">
            <w:pPr>
              <w:tabs>
                <w:tab w:val="left" w:pos="2775"/>
              </w:tabs>
              <w:contextualSpacing/>
              <w:rPr>
                <w:sz w:val="18"/>
                <w:szCs w:val="18"/>
              </w:rPr>
            </w:pPr>
          </w:p>
        </w:tc>
      </w:tr>
    </w:tbl>
    <w:p w14:paraId="2EB9E7F1" w14:textId="77777777" w:rsidR="0026241E" w:rsidRDefault="0026241E" w:rsidP="000C0D73">
      <w:pPr>
        <w:widowControl w:val="0"/>
        <w:jc w:val="both"/>
        <w:rPr>
          <w:sz w:val="22"/>
          <w:szCs w:val="22"/>
        </w:rPr>
      </w:pPr>
    </w:p>
    <w:p w14:paraId="2D03C35F" w14:textId="77777777" w:rsidR="0026241E" w:rsidRDefault="0026241E" w:rsidP="000C0D73">
      <w:pPr>
        <w:widowControl w:val="0"/>
        <w:jc w:val="both"/>
        <w:rPr>
          <w:sz w:val="22"/>
          <w:szCs w:val="22"/>
        </w:rPr>
        <w:sectPr w:rsidR="0026241E" w:rsidSect="0026241E">
          <w:type w:val="continuous"/>
          <w:pgSz w:w="12240" w:h="15840"/>
          <w:pgMar w:top="1440" w:right="1440" w:bottom="1440" w:left="1440" w:header="720" w:footer="720" w:gutter="0"/>
          <w:cols w:space="720"/>
          <w:docGrid w:linePitch="360"/>
        </w:sectPr>
      </w:pPr>
    </w:p>
    <w:p w14:paraId="046ADD8B" w14:textId="77777777" w:rsidR="0026241E" w:rsidRDefault="0026241E" w:rsidP="000C0D73">
      <w:pPr>
        <w:widowControl w:val="0"/>
        <w:jc w:val="both"/>
        <w:rPr>
          <w:sz w:val="22"/>
          <w:szCs w:val="22"/>
        </w:rPr>
      </w:pPr>
    </w:p>
    <w:p w14:paraId="12C1E2A8" w14:textId="77777777" w:rsidR="0026241E" w:rsidRDefault="0026241E" w:rsidP="000C0D73">
      <w:pPr>
        <w:widowControl w:val="0"/>
        <w:jc w:val="both"/>
        <w:rPr>
          <w:sz w:val="22"/>
          <w:szCs w:val="22"/>
        </w:rPr>
        <w:sectPr w:rsidR="0026241E" w:rsidSect="00A074DF">
          <w:type w:val="continuous"/>
          <w:pgSz w:w="12240" w:h="15840"/>
          <w:pgMar w:top="1440" w:right="1440" w:bottom="1440" w:left="1440" w:header="720" w:footer="720" w:gutter="0"/>
          <w:cols w:num="2" w:space="720"/>
          <w:docGrid w:linePitch="360"/>
        </w:sectPr>
      </w:pPr>
    </w:p>
    <w:p w14:paraId="3321139C" w14:textId="77777777" w:rsidR="00A074DF" w:rsidRPr="00A074DF" w:rsidRDefault="00A074DF" w:rsidP="000C0D73">
      <w:pPr>
        <w:widowControl w:val="0"/>
        <w:jc w:val="both"/>
        <w:rPr>
          <w:sz w:val="22"/>
          <w:szCs w:val="22"/>
        </w:rPr>
      </w:pPr>
      <w:r w:rsidRPr="00A074DF">
        <w:rPr>
          <w:sz w:val="22"/>
          <w:szCs w:val="22"/>
        </w:rPr>
        <w:lastRenderedPageBreak/>
        <w:t>We included women, age 18 and older, and who identified their ethnicity as Latina. Preference towards recently immigrating Latinas was expressed in our recruitment efforts but was not an exclusion criterion.</w:t>
      </w:r>
      <w:r w:rsidR="000C0D73">
        <w:rPr>
          <w:sz w:val="22"/>
          <w:szCs w:val="22"/>
        </w:rPr>
        <w:t xml:space="preserve"> </w:t>
      </w:r>
      <w:r w:rsidRPr="00A074DF">
        <w:rPr>
          <w:sz w:val="22"/>
          <w:szCs w:val="22"/>
        </w:rPr>
        <w:t xml:space="preserve">Self-identification as a natural leader was also a criterion. Recruitment flyers and conversations distinguished the expectations of </w:t>
      </w:r>
      <w:proofErr w:type="spellStart"/>
      <w:r w:rsidRPr="00A074DF">
        <w:rPr>
          <w:sz w:val="22"/>
          <w:szCs w:val="22"/>
        </w:rPr>
        <w:t>promotoras</w:t>
      </w:r>
      <w:proofErr w:type="spellEnd"/>
      <w:r w:rsidRPr="00A074DF">
        <w:rPr>
          <w:sz w:val="22"/>
          <w:szCs w:val="22"/>
        </w:rPr>
        <w:t xml:space="preserve"> once trained. They were informed </w:t>
      </w:r>
      <w:proofErr w:type="spellStart"/>
      <w:r w:rsidRPr="00A074DF">
        <w:rPr>
          <w:sz w:val="22"/>
          <w:szCs w:val="22"/>
        </w:rPr>
        <w:t>promtoras</w:t>
      </w:r>
      <w:proofErr w:type="spellEnd"/>
      <w:r w:rsidRPr="00A074DF">
        <w:rPr>
          <w:sz w:val="22"/>
          <w:szCs w:val="22"/>
        </w:rPr>
        <w:t xml:space="preserve"> would be asked to disseminate information acquired during the sessions to up to three peers. Potential participants were asked if they were involved in their communities and whether they </w:t>
      </w:r>
      <w:r w:rsidR="000C0D73">
        <w:rPr>
          <w:sz w:val="22"/>
          <w:szCs w:val="22"/>
        </w:rPr>
        <w:t>self-identified as role models.</w:t>
      </w:r>
      <w:r w:rsidRPr="00A074DF">
        <w:rPr>
          <w:sz w:val="22"/>
          <w:szCs w:val="22"/>
        </w:rPr>
        <w:t xml:space="preserve"> Several of the participants previously served as </w:t>
      </w:r>
      <w:proofErr w:type="spellStart"/>
      <w:r w:rsidRPr="00A074DF">
        <w:rPr>
          <w:sz w:val="22"/>
          <w:szCs w:val="22"/>
        </w:rPr>
        <w:t>promotoras</w:t>
      </w:r>
      <w:proofErr w:type="spellEnd"/>
      <w:r w:rsidRPr="00A074DF">
        <w:rPr>
          <w:sz w:val="22"/>
          <w:szCs w:val="22"/>
        </w:rPr>
        <w:t xml:space="preserve"> for other health areas and voiced mental health as a concern</w:t>
      </w:r>
      <w:r w:rsidR="000C0D73">
        <w:rPr>
          <w:sz w:val="22"/>
          <w:szCs w:val="22"/>
        </w:rPr>
        <w:t xml:space="preserve">. </w:t>
      </w:r>
      <w:r w:rsidRPr="00A074DF">
        <w:rPr>
          <w:sz w:val="22"/>
          <w:szCs w:val="22"/>
        </w:rPr>
        <w:t>All participants expressed a desire t</w:t>
      </w:r>
      <w:r w:rsidR="000C0D73">
        <w:rPr>
          <w:sz w:val="22"/>
          <w:szCs w:val="22"/>
        </w:rPr>
        <w:t>o help others access resources.</w:t>
      </w:r>
    </w:p>
    <w:p w14:paraId="16FA1394" w14:textId="77777777" w:rsidR="000C0D73" w:rsidRDefault="000C0D73" w:rsidP="000C0D73">
      <w:pPr>
        <w:widowControl w:val="0"/>
        <w:jc w:val="both"/>
        <w:rPr>
          <w:sz w:val="22"/>
          <w:szCs w:val="22"/>
        </w:rPr>
      </w:pPr>
    </w:p>
    <w:p w14:paraId="12CDC852" w14:textId="77777777" w:rsidR="00A074DF" w:rsidRDefault="00A074DF" w:rsidP="000C0D73">
      <w:pPr>
        <w:widowControl w:val="0"/>
        <w:jc w:val="both"/>
        <w:rPr>
          <w:sz w:val="22"/>
          <w:szCs w:val="22"/>
        </w:rPr>
      </w:pPr>
      <w:r w:rsidRPr="00A074DF">
        <w:rPr>
          <w:sz w:val="22"/>
          <w:szCs w:val="22"/>
        </w:rPr>
        <w:t xml:space="preserve">Each participant was clinically assessed by the research team’s licensed clinical social worker </w:t>
      </w:r>
      <w:r w:rsidRPr="00A074DF">
        <w:rPr>
          <w:sz w:val="22"/>
          <w:szCs w:val="22"/>
        </w:rPr>
        <w:lastRenderedPageBreak/>
        <w:t>(LCSW) and a psychologist, both of whom are Latina, for the following conditions: substance abuse or dependence, suicidal ideation or tendencies, psychosis, s</w:t>
      </w:r>
      <w:r w:rsidR="000C0D73">
        <w:rPr>
          <w:sz w:val="22"/>
          <w:szCs w:val="22"/>
        </w:rPr>
        <w:t xml:space="preserve">eizure disorders, or dementia. </w:t>
      </w:r>
      <w:r w:rsidRPr="00A074DF">
        <w:rPr>
          <w:sz w:val="22"/>
          <w:szCs w:val="22"/>
        </w:rPr>
        <w:t>Expression or history of these conditions excluded participation and resulted in a referral to a mental health specialist. The assessment included administration of measures of stress, coping, mental health symptoms, and demographic factors.</w:t>
      </w:r>
    </w:p>
    <w:p w14:paraId="7B8AA410" w14:textId="77777777" w:rsidR="000C0D73" w:rsidRPr="00A074DF" w:rsidRDefault="000C0D73" w:rsidP="000C0D73">
      <w:pPr>
        <w:widowControl w:val="0"/>
        <w:jc w:val="both"/>
        <w:rPr>
          <w:sz w:val="22"/>
          <w:szCs w:val="22"/>
        </w:rPr>
      </w:pPr>
    </w:p>
    <w:p w14:paraId="10C4F573" w14:textId="77777777" w:rsidR="00A074DF" w:rsidRPr="00A074DF" w:rsidRDefault="00A074DF" w:rsidP="00A074DF">
      <w:pPr>
        <w:tabs>
          <w:tab w:val="left" w:pos="2775"/>
        </w:tabs>
        <w:jc w:val="both"/>
        <w:rPr>
          <w:b/>
          <w:sz w:val="22"/>
          <w:szCs w:val="22"/>
        </w:rPr>
      </w:pPr>
      <w:r w:rsidRPr="00A074DF">
        <w:rPr>
          <w:b/>
          <w:sz w:val="22"/>
          <w:szCs w:val="22"/>
        </w:rPr>
        <w:t xml:space="preserve">Procedures </w:t>
      </w:r>
    </w:p>
    <w:p w14:paraId="6F08E529" w14:textId="77777777" w:rsidR="00A074DF" w:rsidRPr="00A074DF" w:rsidRDefault="00A074DF" w:rsidP="000C0D73">
      <w:pPr>
        <w:tabs>
          <w:tab w:val="left" w:pos="2775"/>
        </w:tabs>
        <w:jc w:val="both"/>
        <w:rPr>
          <w:sz w:val="22"/>
          <w:szCs w:val="22"/>
        </w:rPr>
      </w:pPr>
      <w:r w:rsidRPr="00A074DF">
        <w:rPr>
          <w:sz w:val="22"/>
          <w:szCs w:val="22"/>
        </w:rPr>
        <w:t xml:space="preserve">Pilot implementation of the program occurred at times convenient for the </w:t>
      </w:r>
      <w:proofErr w:type="spellStart"/>
      <w:r w:rsidRPr="00A074DF">
        <w:rPr>
          <w:sz w:val="22"/>
          <w:szCs w:val="22"/>
        </w:rPr>
        <w:t>promotoras</w:t>
      </w:r>
      <w:proofErr w:type="spellEnd"/>
      <w:r w:rsidR="000C0D73">
        <w:rPr>
          <w:sz w:val="22"/>
          <w:szCs w:val="22"/>
        </w:rPr>
        <w:t xml:space="preserve">. </w:t>
      </w:r>
      <w:r w:rsidRPr="00A074DF">
        <w:rPr>
          <w:sz w:val="22"/>
          <w:szCs w:val="22"/>
        </w:rPr>
        <w:t xml:space="preserve">ALMA staff contacted participants to confirm interest, query preferences, and determine session times that were convenient to participants. </w:t>
      </w:r>
      <w:proofErr w:type="spellStart"/>
      <w:r w:rsidRPr="00A074DF">
        <w:rPr>
          <w:sz w:val="22"/>
          <w:szCs w:val="22"/>
        </w:rPr>
        <w:t>Promotoras</w:t>
      </w:r>
      <w:proofErr w:type="spellEnd"/>
      <w:r w:rsidRPr="00A074DF">
        <w:rPr>
          <w:sz w:val="22"/>
          <w:szCs w:val="22"/>
        </w:rPr>
        <w:t xml:space="preserve"> preferred Saturday mornings for weekly training sessions and weekday evenings</w:t>
      </w:r>
      <w:r w:rsidR="000C0D73">
        <w:rPr>
          <w:sz w:val="22"/>
          <w:szCs w:val="22"/>
        </w:rPr>
        <w:t xml:space="preserve"> for monthly booster sessions. </w:t>
      </w:r>
      <w:r w:rsidRPr="00A074DF">
        <w:rPr>
          <w:sz w:val="22"/>
          <w:szCs w:val="22"/>
        </w:rPr>
        <w:t>Participant contact was conducted in Spanish.</w:t>
      </w:r>
    </w:p>
    <w:p w14:paraId="434C526D" w14:textId="77777777" w:rsidR="00A074DF" w:rsidRDefault="00A074DF" w:rsidP="000C0D73">
      <w:pPr>
        <w:tabs>
          <w:tab w:val="left" w:pos="2775"/>
        </w:tabs>
        <w:jc w:val="both"/>
        <w:rPr>
          <w:sz w:val="22"/>
          <w:szCs w:val="22"/>
        </w:rPr>
      </w:pPr>
      <w:r w:rsidRPr="00A074DF">
        <w:rPr>
          <w:sz w:val="22"/>
          <w:szCs w:val="22"/>
        </w:rPr>
        <w:lastRenderedPageBreak/>
        <w:t xml:space="preserve">During implementation, the social worker made weekly contacts to remind </w:t>
      </w:r>
      <w:proofErr w:type="spellStart"/>
      <w:r w:rsidRPr="00A074DF">
        <w:rPr>
          <w:sz w:val="22"/>
          <w:szCs w:val="22"/>
        </w:rPr>
        <w:t>promotoras</w:t>
      </w:r>
      <w:proofErr w:type="spellEnd"/>
      <w:r w:rsidRPr="00A074DF">
        <w:rPr>
          <w:sz w:val="22"/>
          <w:szCs w:val="22"/>
        </w:rPr>
        <w:t xml:space="preserve"> of assignments, request session RSVP, and alert </w:t>
      </w:r>
      <w:proofErr w:type="spellStart"/>
      <w:r w:rsidRPr="00A074DF">
        <w:rPr>
          <w:sz w:val="22"/>
          <w:szCs w:val="22"/>
        </w:rPr>
        <w:t>promotoras</w:t>
      </w:r>
      <w:proofErr w:type="spellEnd"/>
      <w:r w:rsidRPr="00A074DF">
        <w:rPr>
          <w:sz w:val="22"/>
          <w:szCs w:val="22"/>
        </w:rPr>
        <w:t xml:space="preserve"> of changes to the session.  The facilitator delivered sessions using a combination of paired, small, and large group discussions. Sessions were held in a community setting in three hour blocks</w:t>
      </w:r>
      <w:r w:rsidR="000C0D73">
        <w:rPr>
          <w:sz w:val="22"/>
          <w:szCs w:val="22"/>
        </w:rPr>
        <w:t xml:space="preserve">. </w:t>
      </w:r>
      <w:r w:rsidRPr="00A074DF">
        <w:rPr>
          <w:sz w:val="22"/>
          <w:szCs w:val="22"/>
        </w:rPr>
        <w:t xml:space="preserve">All training sessions were facilitated by a bilingual, bicultural clinical </w:t>
      </w:r>
      <w:r w:rsidR="000C0D73">
        <w:rPr>
          <w:sz w:val="22"/>
          <w:szCs w:val="22"/>
        </w:rPr>
        <w:t xml:space="preserve">social worker. </w:t>
      </w:r>
      <w:r w:rsidRPr="00A074DF">
        <w:rPr>
          <w:sz w:val="22"/>
          <w:szCs w:val="22"/>
        </w:rPr>
        <w:t>Some components of the training sessions were also co-facilitated by committee members and other service providers with extensive knowledg</w:t>
      </w:r>
      <w:r w:rsidR="000C0D73">
        <w:rPr>
          <w:sz w:val="22"/>
          <w:szCs w:val="22"/>
        </w:rPr>
        <w:t xml:space="preserve">e of a topic or resource area. </w:t>
      </w:r>
      <w:r w:rsidRPr="00A074DF">
        <w:rPr>
          <w:sz w:val="22"/>
          <w:szCs w:val="22"/>
        </w:rPr>
        <w:t>All meetings cl</w:t>
      </w:r>
      <w:r w:rsidR="000C0D73">
        <w:rPr>
          <w:sz w:val="22"/>
          <w:szCs w:val="22"/>
        </w:rPr>
        <w:t xml:space="preserve">osed with a family style meal. </w:t>
      </w:r>
      <w:r w:rsidRPr="00A074DF">
        <w:rPr>
          <w:sz w:val="22"/>
          <w:szCs w:val="22"/>
        </w:rPr>
        <w:t xml:space="preserve">Homework assignments given at each training session provided opportunities for </w:t>
      </w:r>
      <w:proofErr w:type="spellStart"/>
      <w:r w:rsidRPr="00A074DF">
        <w:rPr>
          <w:sz w:val="22"/>
          <w:szCs w:val="22"/>
        </w:rPr>
        <w:t>promotoras</w:t>
      </w:r>
      <w:proofErr w:type="spellEnd"/>
      <w:r w:rsidRPr="00A074DF">
        <w:rPr>
          <w:sz w:val="22"/>
          <w:szCs w:val="22"/>
        </w:rPr>
        <w:t xml:space="preserve"> to practice the skills learned in prior sessions</w:t>
      </w:r>
      <w:r w:rsidR="000C0D73">
        <w:rPr>
          <w:sz w:val="22"/>
          <w:szCs w:val="22"/>
        </w:rPr>
        <w:t xml:space="preserve">. </w:t>
      </w:r>
      <w:r w:rsidRPr="00A074DF">
        <w:rPr>
          <w:sz w:val="22"/>
          <w:szCs w:val="22"/>
        </w:rPr>
        <w:t>Assignments encouraged use of comfort basket items like materials for creating greeting cards for family members, calling cards for connecting with family in country of origin</w:t>
      </w:r>
      <w:r w:rsidR="000C0D73">
        <w:rPr>
          <w:sz w:val="22"/>
          <w:szCs w:val="22"/>
        </w:rPr>
        <w:t xml:space="preserve">. </w:t>
      </w:r>
      <w:r w:rsidRPr="00A074DF">
        <w:rPr>
          <w:sz w:val="22"/>
          <w:szCs w:val="22"/>
        </w:rPr>
        <w:t xml:space="preserve">Tangible examples of second wave coping strategies included a yoga mat, meditation CD, and resource guide of community resources. </w:t>
      </w:r>
      <w:proofErr w:type="spellStart"/>
      <w:r w:rsidRPr="00A074DF">
        <w:rPr>
          <w:sz w:val="22"/>
          <w:szCs w:val="22"/>
        </w:rPr>
        <w:t>Promotoras</w:t>
      </w:r>
      <w:proofErr w:type="spellEnd"/>
      <w:r w:rsidRPr="00A074DF">
        <w:rPr>
          <w:sz w:val="22"/>
          <w:szCs w:val="22"/>
        </w:rPr>
        <w:t xml:space="preserve"> were asked to select up to three individuals (</w:t>
      </w:r>
      <w:proofErr w:type="spellStart"/>
      <w:r w:rsidRPr="00A074DF">
        <w:rPr>
          <w:sz w:val="22"/>
          <w:szCs w:val="22"/>
        </w:rPr>
        <w:t>compañeras</w:t>
      </w:r>
      <w:proofErr w:type="spellEnd"/>
      <w:r w:rsidRPr="00A074DF">
        <w:rPr>
          <w:sz w:val="22"/>
          <w:szCs w:val="22"/>
        </w:rPr>
        <w:t>) with whom to share information and materials they acquired through ALMA.</w:t>
      </w:r>
    </w:p>
    <w:p w14:paraId="6202F53D" w14:textId="77777777" w:rsidR="000C0D73" w:rsidRPr="00A074DF" w:rsidRDefault="000C0D73" w:rsidP="000C0D73">
      <w:pPr>
        <w:tabs>
          <w:tab w:val="left" w:pos="2775"/>
        </w:tabs>
        <w:jc w:val="both"/>
        <w:rPr>
          <w:sz w:val="22"/>
          <w:szCs w:val="22"/>
        </w:rPr>
      </w:pPr>
    </w:p>
    <w:p w14:paraId="2687169A" w14:textId="77777777" w:rsidR="00A074DF" w:rsidRPr="00A074DF" w:rsidRDefault="00A074DF" w:rsidP="000C0D73">
      <w:pPr>
        <w:tabs>
          <w:tab w:val="left" w:pos="2775"/>
        </w:tabs>
        <w:jc w:val="center"/>
        <w:rPr>
          <w:sz w:val="22"/>
          <w:szCs w:val="22"/>
        </w:rPr>
      </w:pPr>
      <w:r w:rsidRPr="00A074DF">
        <w:rPr>
          <w:b/>
          <w:sz w:val="22"/>
          <w:szCs w:val="22"/>
        </w:rPr>
        <w:t>Measures</w:t>
      </w:r>
    </w:p>
    <w:p w14:paraId="277AEBF0" w14:textId="77777777" w:rsidR="000C0D73" w:rsidRDefault="000C0D73" w:rsidP="000C0D73">
      <w:pPr>
        <w:tabs>
          <w:tab w:val="left" w:pos="2775"/>
        </w:tabs>
        <w:jc w:val="both"/>
        <w:rPr>
          <w:sz w:val="22"/>
          <w:szCs w:val="22"/>
        </w:rPr>
      </w:pPr>
    </w:p>
    <w:p w14:paraId="31BA0F6F" w14:textId="77777777" w:rsidR="00A074DF" w:rsidRPr="00A074DF" w:rsidRDefault="00A074DF" w:rsidP="000C0D73">
      <w:pPr>
        <w:tabs>
          <w:tab w:val="left" w:pos="2775"/>
        </w:tabs>
        <w:jc w:val="both"/>
        <w:rPr>
          <w:rStyle w:val="CommentReference"/>
          <w:sz w:val="22"/>
          <w:szCs w:val="22"/>
        </w:rPr>
      </w:pPr>
      <w:r w:rsidRPr="00A074DF">
        <w:rPr>
          <w:sz w:val="22"/>
          <w:szCs w:val="22"/>
        </w:rPr>
        <w:t xml:space="preserve">Measures included </w:t>
      </w:r>
      <w:proofErr w:type="spellStart"/>
      <w:r w:rsidRPr="00A074DF">
        <w:rPr>
          <w:sz w:val="22"/>
          <w:szCs w:val="22"/>
        </w:rPr>
        <w:t>promotora</w:t>
      </w:r>
      <w:proofErr w:type="spellEnd"/>
      <w:r w:rsidRPr="00A074DF">
        <w:rPr>
          <w:sz w:val="22"/>
          <w:szCs w:val="22"/>
        </w:rPr>
        <w:t xml:space="preserve"> demographics, session attendance logs, documentation of first wave coping strate</w:t>
      </w:r>
      <w:r w:rsidR="000C0D73">
        <w:rPr>
          <w:sz w:val="22"/>
          <w:szCs w:val="22"/>
        </w:rPr>
        <w:t>gies, and monthly booster logs.</w:t>
      </w:r>
      <w:r w:rsidRPr="00A074DF">
        <w:rPr>
          <w:sz w:val="22"/>
          <w:szCs w:val="22"/>
        </w:rPr>
        <w:t xml:space="preserve"> </w:t>
      </w:r>
      <w:r w:rsidRPr="00A074DF">
        <w:rPr>
          <w:rStyle w:val="CommentReference"/>
          <w:sz w:val="22"/>
          <w:szCs w:val="22"/>
        </w:rPr>
        <w:t>Session attendance was talli</w:t>
      </w:r>
      <w:r w:rsidR="000C0D73">
        <w:rPr>
          <w:rStyle w:val="CommentReference"/>
          <w:sz w:val="22"/>
          <w:szCs w:val="22"/>
        </w:rPr>
        <w:t>ed from session sign-in sheets.</w:t>
      </w:r>
      <w:r w:rsidRPr="00A074DF">
        <w:rPr>
          <w:rStyle w:val="CommentReference"/>
          <w:sz w:val="22"/>
          <w:szCs w:val="22"/>
        </w:rPr>
        <w:t xml:space="preserve"> First wave coping strategies were identif</w:t>
      </w:r>
      <w:r w:rsidR="000C0D73">
        <w:rPr>
          <w:rStyle w:val="CommentReference"/>
          <w:sz w:val="22"/>
          <w:szCs w:val="22"/>
        </w:rPr>
        <w:t xml:space="preserve">ied during a session activity. </w:t>
      </w:r>
      <w:proofErr w:type="spellStart"/>
      <w:r w:rsidRPr="00A074DF">
        <w:rPr>
          <w:rStyle w:val="CommentReference"/>
          <w:sz w:val="22"/>
          <w:szCs w:val="22"/>
        </w:rPr>
        <w:t>Promotoras</w:t>
      </w:r>
      <w:proofErr w:type="spellEnd"/>
      <w:r w:rsidRPr="00A074DF">
        <w:rPr>
          <w:rStyle w:val="CommentReference"/>
          <w:sz w:val="22"/>
          <w:szCs w:val="22"/>
        </w:rPr>
        <w:t xml:space="preserve"> used worksheets to document and describe first wave coping strategies, then discussed them in small and large group discussions. </w:t>
      </w:r>
      <w:proofErr w:type="spellStart"/>
      <w:r w:rsidRPr="00A074DF">
        <w:rPr>
          <w:rStyle w:val="CommentReference"/>
          <w:sz w:val="22"/>
          <w:szCs w:val="22"/>
        </w:rPr>
        <w:t>Promotoras</w:t>
      </w:r>
      <w:proofErr w:type="spellEnd"/>
      <w:r w:rsidRPr="00A074DF">
        <w:rPr>
          <w:rStyle w:val="CommentReference"/>
          <w:sz w:val="22"/>
          <w:szCs w:val="22"/>
        </w:rPr>
        <w:t xml:space="preserve"> provided feedback on the session </w:t>
      </w:r>
      <w:r w:rsidR="00994F39">
        <w:rPr>
          <w:rStyle w:val="CommentReference"/>
          <w:sz w:val="22"/>
          <w:szCs w:val="22"/>
        </w:rPr>
        <w:t xml:space="preserve">using a brief evaluation form. </w:t>
      </w:r>
      <w:r w:rsidRPr="00A074DF">
        <w:rPr>
          <w:rStyle w:val="CommentReference"/>
          <w:sz w:val="22"/>
          <w:szCs w:val="22"/>
        </w:rPr>
        <w:t>They were queried for their mood, what they liked about the session, and suggested chan</w:t>
      </w:r>
      <w:r w:rsidR="00994F39">
        <w:rPr>
          <w:rStyle w:val="CommentReference"/>
          <w:sz w:val="22"/>
          <w:szCs w:val="22"/>
        </w:rPr>
        <w:t>ges.</w:t>
      </w:r>
    </w:p>
    <w:p w14:paraId="49EEE679" w14:textId="77777777" w:rsidR="00994F39" w:rsidRDefault="00994F39" w:rsidP="00994F39">
      <w:pPr>
        <w:tabs>
          <w:tab w:val="left" w:pos="2775"/>
        </w:tabs>
        <w:jc w:val="both"/>
        <w:rPr>
          <w:rStyle w:val="CommentReference"/>
          <w:sz w:val="22"/>
          <w:szCs w:val="22"/>
        </w:rPr>
      </w:pPr>
    </w:p>
    <w:p w14:paraId="6D0C7EEE" w14:textId="77777777" w:rsidR="00A074DF" w:rsidRPr="00A074DF" w:rsidRDefault="00A074DF" w:rsidP="00994F39">
      <w:pPr>
        <w:tabs>
          <w:tab w:val="left" w:pos="2775"/>
        </w:tabs>
        <w:jc w:val="both"/>
        <w:rPr>
          <w:rStyle w:val="CommentReference"/>
          <w:sz w:val="22"/>
          <w:szCs w:val="22"/>
        </w:rPr>
      </w:pPr>
      <w:r w:rsidRPr="00A074DF">
        <w:rPr>
          <w:rStyle w:val="CommentReference"/>
          <w:sz w:val="22"/>
          <w:szCs w:val="22"/>
        </w:rPr>
        <w:t xml:space="preserve">Following the ten sessions, </w:t>
      </w:r>
      <w:proofErr w:type="spellStart"/>
      <w:r w:rsidRPr="00A074DF">
        <w:rPr>
          <w:rStyle w:val="CommentReference"/>
          <w:sz w:val="22"/>
          <w:szCs w:val="22"/>
        </w:rPr>
        <w:t>promotoras</w:t>
      </w:r>
      <w:proofErr w:type="spellEnd"/>
      <w:r w:rsidRPr="00A074DF">
        <w:rPr>
          <w:rStyle w:val="CommentReference"/>
          <w:sz w:val="22"/>
          <w:szCs w:val="22"/>
        </w:rPr>
        <w:t xml:space="preserve"> met monthly over nine months for booster sessions.  Booster sessions reinforced skills building and information from the training sessions and provided opportunities for </w:t>
      </w:r>
      <w:proofErr w:type="spellStart"/>
      <w:r w:rsidRPr="00A074DF">
        <w:rPr>
          <w:rStyle w:val="CommentReference"/>
          <w:sz w:val="22"/>
          <w:szCs w:val="22"/>
        </w:rPr>
        <w:t>promotoras</w:t>
      </w:r>
      <w:proofErr w:type="spellEnd"/>
      <w:r w:rsidRPr="00A074DF">
        <w:rPr>
          <w:rStyle w:val="CommentReference"/>
          <w:sz w:val="22"/>
          <w:szCs w:val="22"/>
        </w:rPr>
        <w:t xml:space="preserve"> to share their experiences disseminating information</w:t>
      </w:r>
      <w:r w:rsidR="00994F39">
        <w:rPr>
          <w:rStyle w:val="CommentReference"/>
          <w:sz w:val="22"/>
          <w:szCs w:val="22"/>
        </w:rPr>
        <w:t xml:space="preserve"> and </w:t>
      </w:r>
      <w:r w:rsidR="00994F39">
        <w:rPr>
          <w:rStyle w:val="CommentReference"/>
          <w:sz w:val="22"/>
          <w:szCs w:val="22"/>
        </w:rPr>
        <w:lastRenderedPageBreak/>
        <w:t xml:space="preserve">support to other Latinas. </w:t>
      </w:r>
      <w:r w:rsidRPr="00A074DF">
        <w:rPr>
          <w:rStyle w:val="CommentReference"/>
          <w:sz w:val="22"/>
          <w:szCs w:val="22"/>
        </w:rPr>
        <w:t xml:space="preserve">Each month, </w:t>
      </w:r>
      <w:proofErr w:type="spellStart"/>
      <w:r w:rsidRPr="00A074DF">
        <w:rPr>
          <w:rStyle w:val="CommentReference"/>
          <w:sz w:val="22"/>
          <w:szCs w:val="22"/>
        </w:rPr>
        <w:t>promotoras</w:t>
      </w:r>
      <w:proofErr w:type="spellEnd"/>
      <w:r w:rsidRPr="00A074DF">
        <w:rPr>
          <w:rStyle w:val="CommentReference"/>
          <w:sz w:val="22"/>
          <w:szCs w:val="22"/>
        </w:rPr>
        <w:t xml:space="preserve"> were asked to share information and resources about mental health and coping skills with the </w:t>
      </w:r>
      <w:proofErr w:type="spellStart"/>
      <w:r w:rsidRPr="00A074DF">
        <w:rPr>
          <w:rStyle w:val="CommentReference"/>
          <w:sz w:val="22"/>
          <w:szCs w:val="22"/>
        </w:rPr>
        <w:t>compañera</w:t>
      </w:r>
      <w:r w:rsidR="00994F39">
        <w:rPr>
          <w:rStyle w:val="CommentReference"/>
          <w:sz w:val="22"/>
          <w:szCs w:val="22"/>
        </w:rPr>
        <w:t>s</w:t>
      </w:r>
      <w:proofErr w:type="spellEnd"/>
      <w:r w:rsidR="00994F39">
        <w:rPr>
          <w:rStyle w:val="CommentReference"/>
          <w:sz w:val="22"/>
          <w:szCs w:val="22"/>
        </w:rPr>
        <w:t xml:space="preserve"> and others in the community. </w:t>
      </w:r>
      <w:proofErr w:type="spellStart"/>
      <w:r w:rsidRPr="00A074DF">
        <w:rPr>
          <w:rStyle w:val="CommentReference"/>
          <w:sz w:val="22"/>
          <w:szCs w:val="22"/>
        </w:rPr>
        <w:t>Promotoras</w:t>
      </w:r>
      <w:proofErr w:type="spellEnd"/>
      <w:r w:rsidRPr="00A074DF">
        <w:rPr>
          <w:rStyle w:val="CommentReference"/>
          <w:sz w:val="22"/>
          <w:szCs w:val="22"/>
        </w:rPr>
        <w:t xml:space="preserve"> self-reported outreach activities</w:t>
      </w:r>
      <w:r w:rsidR="00994F39">
        <w:rPr>
          <w:rStyle w:val="CommentReference"/>
          <w:sz w:val="22"/>
          <w:szCs w:val="22"/>
        </w:rPr>
        <w:t xml:space="preserve"> using a brief one-page log. </w:t>
      </w:r>
      <w:r w:rsidRPr="00A074DF">
        <w:rPr>
          <w:rStyle w:val="CommentReference"/>
          <w:sz w:val="22"/>
          <w:szCs w:val="22"/>
        </w:rPr>
        <w:t>Logs detailed types of referrals, items shared from the comfort basket, and whether outreach activities occurred in one-on-one or group settings.</w:t>
      </w:r>
    </w:p>
    <w:p w14:paraId="136E5B89" w14:textId="77777777" w:rsidR="00A074DF" w:rsidRPr="00A074DF" w:rsidRDefault="00A074DF" w:rsidP="00A074DF">
      <w:pPr>
        <w:tabs>
          <w:tab w:val="left" w:pos="2775"/>
        </w:tabs>
        <w:ind w:firstLine="720"/>
        <w:jc w:val="both"/>
        <w:rPr>
          <w:rStyle w:val="CommentReference"/>
          <w:sz w:val="22"/>
          <w:szCs w:val="22"/>
        </w:rPr>
      </w:pPr>
    </w:p>
    <w:p w14:paraId="0BBA5FFA" w14:textId="77777777" w:rsidR="00A074DF" w:rsidRPr="00A074DF" w:rsidRDefault="00A074DF" w:rsidP="00A074DF">
      <w:pPr>
        <w:tabs>
          <w:tab w:val="left" w:pos="2775"/>
        </w:tabs>
        <w:jc w:val="both"/>
        <w:rPr>
          <w:b/>
          <w:sz w:val="22"/>
          <w:szCs w:val="22"/>
        </w:rPr>
      </w:pPr>
      <w:r w:rsidRPr="00A074DF">
        <w:rPr>
          <w:b/>
          <w:sz w:val="22"/>
          <w:szCs w:val="22"/>
        </w:rPr>
        <w:t>Analysis</w:t>
      </w:r>
    </w:p>
    <w:p w14:paraId="0800BF0F" w14:textId="77777777" w:rsidR="00A074DF" w:rsidRPr="00A074DF" w:rsidRDefault="00A074DF" w:rsidP="00994F39">
      <w:pPr>
        <w:widowControl w:val="0"/>
        <w:jc w:val="both"/>
        <w:rPr>
          <w:sz w:val="22"/>
          <w:szCs w:val="22"/>
          <w:u w:val="single"/>
        </w:rPr>
      </w:pPr>
      <w:r w:rsidRPr="00A074DF">
        <w:rPr>
          <w:sz w:val="22"/>
          <w:szCs w:val="22"/>
        </w:rPr>
        <w:t>We conducted frequencies of basic demographics, attendance, and outreach activities during booster months and produced summaries of first wave activities and session evaluations.</w:t>
      </w:r>
    </w:p>
    <w:p w14:paraId="1FAE4FA2" w14:textId="77777777" w:rsidR="00A074DF" w:rsidRPr="00A074DF" w:rsidRDefault="00A074DF" w:rsidP="00A074DF">
      <w:pPr>
        <w:widowControl w:val="0"/>
        <w:ind w:firstLine="720"/>
        <w:jc w:val="both"/>
        <w:rPr>
          <w:sz w:val="22"/>
          <w:szCs w:val="22"/>
        </w:rPr>
      </w:pPr>
    </w:p>
    <w:p w14:paraId="7D31C1A1" w14:textId="77777777" w:rsidR="00A074DF" w:rsidRDefault="00A074DF" w:rsidP="00994F39">
      <w:pPr>
        <w:tabs>
          <w:tab w:val="left" w:pos="2775"/>
        </w:tabs>
        <w:jc w:val="center"/>
        <w:rPr>
          <w:b/>
          <w:sz w:val="22"/>
          <w:szCs w:val="22"/>
        </w:rPr>
      </w:pPr>
      <w:r w:rsidRPr="00A074DF">
        <w:rPr>
          <w:b/>
          <w:sz w:val="22"/>
          <w:szCs w:val="22"/>
        </w:rPr>
        <w:t>Results</w:t>
      </w:r>
    </w:p>
    <w:p w14:paraId="78DE3E23" w14:textId="77777777" w:rsidR="00994F39" w:rsidRPr="00A074DF" w:rsidRDefault="00994F39" w:rsidP="00A074DF">
      <w:pPr>
        <w:tabs>
          <w:tab w:val="left" w:pos="2775"/>
        </w:tabs>
        <w:jc w:val="both"/>
        <w:rPr>
          <w:b/>
          <w:sz w:val="22"/>
          <w:szCs w:val="22"/>
        </w:rPr>
      </w:pPr>
    </w:p>
    <w:p w14:paraId="0102C047" w14:textId="77777777" w:rsidR="00A074DF" w:rsidRPr="00994F39" w:rsidRDefault="00A074DF" w:rsidP="00994F39">
      <w:pPr>
        <w:tabs>
          <w:tab w:val="left" w:pos="2775"/>
        </w:tabs>
        <w:jc w:val="both"/>
        <w:rPr>
          <w:b/>
          <w:sz w:val="22"/>
          <w:szCs w:val="22"/>
        </w:rPr>
      </w:pPr>
      <w:r w:rsidRPr="00994F39">
        <w:rPr>
          <w:b/>
          <w:sz w:val="22"/>
          <w:szCs w:val="22"/>
        </w:rPr>
        <w:t>Demographics</w:t>
      </w:r>
    </w:p>
    <w:p w14:paraId="61970522" w14:textId="77777777" w:rsidR="00A074DF" w:rsidRPr="00A074DF" w:rsidRDefault="00A074DF" w:rsidP="00994F39">
      <w:pPr>
        <w:tabs>
          <w:tab w:val="left" w:pos="2775"/>
        </w:tabs>
        <w:jc w:val="both"/>
        <w:rPr>
          <w:sz w:val="22"/>
          <w:szCs w:val="22"/>
        </w:rPr>
      </w:pPr>
      <w:r w:rsidRPr="00A074DF">
        <w:rPr>
          <w:sz w:val="22"/>
          <w:szCs w:val="22"/>
        </w:rPr>
        <w:t xml:space="preserve">Training session attendance was high, ranging from 94% to 71% through the ten sessions; 35% of </w:t>
      </w:r>
      <w:proofErr w:type="spellStart"/>
      <w:r w:rsidRPr="00A074DF">
        <w:rPr>
          <w:sz w:val="22"/>
          <w:szCs w:val="22"/>
        </w:rPr>
        <w:t>promotoras</w:t>
      </w:r>
      <w:proofErr w:type="spellEnd"/>
      <w:r w:rsidRPr="00A074DF">
        <w:rPr>
          <w:sz w:val="22"/>
          <w:szCs w:val="22"/>
        </w:rPr>
        <w:t xml:space="preserve"> attended all ten sessions. Most </w:t>
      </w:r>
      <w:proofErr w:type="spellStart"/>
      <w:r w:rsidRPr="00A074DF">
        <w:rPr>
          <w:sz w:val="22"/>
          <w:szCs w:val="22"/>
        </w:rPr>
        <w:t>promotoras</w:t>
      </w:r>
      <w:proofErr w:type="spellEnd"/>
      <w:r w:rsidRPr="00A074DF">
        <w:rPr>
          <w:sz w:val="22"/>
          <w:szCs w:val="22"/>
        </w:rPr>
        <w:t xml:space="preserve"> were married, had at least a high school education, </w:t>
      </w:r>
      <w:proofErr w:type="gramStart"/>
      <w:r w:rsidRPr="00A074DF">
        <w:rPr>
          <w:sz w:val="22"/>
          <w:szCs w:val="22"/>
        </w:rPr>
        <w:t>were employed, and pursuing a</w:t>
      </w:r>
      <w:r w:rsidR="00994F39">
        <w:rPr>
          <w:sz w:val="22"/>
          <w:szCs w:val="22"/>
        </w:rPr>
        <w:t>dditional education</w:t>
      </w:r>
      <w:proofErr w:type="gramEnd"/>
      <w:r w:rsidR="00994F39">
        <w:rPr>
          <w:sz w:val="22"/>
          <w:szCs w:val="22"/>
        </w:rPr>
        <w:t xml:space="preserve"> (Table 2). </w:t>
      </w:r>
      <w:proofErr w:type="spellStart"/>
      <w:r w:rsidRPr="00A074DF">
        <w:rPr>
          <w:sz w:val="22"/>
          <w:szCs w:val="22"/>
        </w:rPr>
        <w:t>Promotoras</w:t>
      </w:r>
      <w:proofErr w:type="spellEnd"/>
      <w:r w:rsidRPr="00A074DF">
        <w:rPr>
          <w:sz w:val="22"/>
          <w:szCs w:val="22"/>
        </w:rPr>
        <w:t xml:space="preserve"> identified their countries of origin as Mexico, Columbia, the Dominican Republic, and Pa</w:t>
      </w:r>
      <w:r w:rsidR="00994F39">
        <w:rPr>
          <w:sz w:val="22"/>
          <w:szCs w:val="22"/>
        </w:rPr>
        <w:t xml:space="preserve">nama. </w:t>
      </w:r>
      <w:r w:rsidRPr="00A074DF">
        <w:rPr>
          <w:sz w:val="22"/>
          <w:szCs w:val="22"/>
        </w:rPr>
        <w:t xml:space="preserve">Most </w:t>
      </w:r>
      <w:proofErr w:type="spellStart"/>
      <w:r w:rsidRPr="00A074DF">
        <w:rPr>
          <w:sz w:val="22"/>
          <w:szCs w:val="22"/>
        </w:rPr>
        <w:t>promotoras</w:t>
      </w:r>
      <w:proofErr w:type="spellEnd"/>
      <w:r w:rsidRPr="00A074DF">
        <w:rPr>
          <w:sz w:val="22"/>
          <w:szCs w:val="22"/>
        </w:rPr>
        <w:t xml:space="preserve"> reported their health status as good or better,</w:t>
      </w:r>
      <w:r w:rsidR="00994F39">
        <w:rPr>
          <w:sz w:val="22"/>
          <w:szCs w:val="22"/>
        </w:rPr>
        <w:t xml:space="preserve"> but few had health insurance. </w:t>
      </w:r>
      <w:r w:rsidRPr="00A074DF">
        <w:rPr>
          <w:sz w:val="22"/>
          <w:szCs w:val="22"/>
        </w:rPr>
        <w:t xml:space="preserve">Ten </w:t>
      </w:r>
      <w:proofErr w:type="spellStart"/>
      <w:r w:rsidRPr="00A074DF">
        <w:rPr>
          <w:sz w:val="22"/>
          <w:szCs w:val="22"/>
        </w:rPr>
        <w:t>compañeras</w:t>
      </w:r>
      <w:proofErr w:type="spellEnd"/>
      <w:r w:rsidR="00994F39">
        <w:rPr>
          <w:sz w:val="22"/>
          <w:szCs w:val="22"/>
        </w:rPr>
        <w:t xml:space="preserve"> were identified by </w:t>
      </w:r>
      <w:proofErr w:type="spellStart"/>
      <w:r w:rsidR="00994F39">
        <w:rPr>
          <w:sz w:val="22"/>
          <w:szCs w:val="22"/>
        </w:rPr>
        <w:t>promotoras</w:t>
      </w:r>
      <w:proofErr w:type="spellEnd"/>
      <w:r w:rsidR="00994F39">
        <w:rPr>
          <w:sz w:val="22"/>
          <w:szCs w:val="22"/>
        </w:rPr>
        <w:t>.</w:t>
      </w:r>
      <w:r w:rsidRPr="00A074DF">
        <w:rPr>
          <w:sz w:val="22"/>
          <w:szCs w:val="22"/>
        </w:rPr>
        <w:t xml:space="preserve"> Nine </w:t>
      </w:r>
      <w:proofErr w:type="spellStart"/>
      <w:r w:rsidRPr="00A074DF">
        <w:rPr>
          <w:sz w:val="22"/>
          <w:szCs w:val="22"/>
        </w:rPr>
        <w:t>compañeras</w:t>
      </w:r>
      <w:proofErr w:type="spellEnd"/>
      <w:r w:rsidRPr="00A074DF">
        <w:rPr>
          <w:sz w:val="22"/>
          <w:szCs w:val="22"/>
        </w:rPr>
        <w:t xml:space="preserve"> participated in the </w:t>
      </w:r>
      <w:r w:rsidR="00994F39">
        <w:rPr>
          <w:sz w:val="22"/>
          <w:szCs w:val="22"/>
        </w:rPr>
        <w:t xml:space="preserve">session open to </w:t>
      </w:r>
      <w:proofErr w:type="spellStart"/>
      <w:r w:rsidR="00994F39">
        <w:rPr>
          <w:sz w:val="22"/>
          <w:szCs w:val="22"/>
        </w:rPr>
        <w:t>compañeras</w:t>
      </w:r>
      <w:proofErr w:type="spellEnd"/>
      <w:r w:rsidR="00994F39">
        <w:rPr>
          <w:sz w:val="22"/>
          <w:szCs w:val="22"/>
        </w:rPr>
        <w:t xml:space="preserve">. </w:t>
      </w:r>
      <w:r w:rsidRPr="00A074DF">
        <w:rPr>
          <w:sz w:val="22"/>
          <w:szCs w:val="22"/>
        </w:rPr>
        <w:t>Three partners attended the session open t</w:t>
      </w:r>
      <w:r w:rsidR="00994F39">
        <w:rPr>
          <w:sz w:val="22"/>
          <w:szCs w:val="22"/>
        </w:rPr>
        <w:t>o partners.</w:t>
      </w:r>
    </w:p>
    <w:p w14:paraId="79ACE308" w14:textId="77777777" w:rsidR="00994F39" w:rsidRDefault="00994F39" w:rsidP="00994F39">
      <w:pPr>
        <w:jc w:val="both"/>
        <w:rPr>
          <w:sz w:val="22"/>
          <w:szCs w:val="22"/>
        </w:rPr>
      </w:pPr>
    </w:p>
    <w:p w14:paraId="788EB4F8" w14:textId="77777777" w:rsidR="00994F39" w:rsidRDefault="00A074DF" w:rsidP="00994F39">
      <w:pPr>
        <w:jc w:val="both"/>
        <w:rPr>
          <w:sz w:val="22"/>
          <w:szCs w:val="22"/>
        </w:rPr>
      </w:pPr>
      <w:r w:rsidRPr="00A074DF">
        <w:rPr>
          <w:sz w:val="22"/>
          <w:szCs w:val="22"/>
        </w:rPr>
        <w:t xml:space="preserve">During the pilot sessions, </w:t>
      </w:r>
      <w:proofErr w:type="spellStart"/>
      <w:r w:rsidRPr="00A074DF">
        <w:rPr>
          <w:sz w:val="22"/>
          <w:szCs w:val="22"/>
        </w:rPr>
        <w:t>promotoras</w:t>
      </w:r>
      <w:proofErr w:type="spellEnd"/>
      <w:r w:rsidRPr="00A074DF">
        <w:rPr>
          <w:sz w:val="22"/>
          <w:szCs w:val="22"/>
        </w:rPr>
        <w:t xml:space="preserve"> discussed stressors in their own lives and helping coping strategies. </w:t>
      </w:r>
      <w:proofErr w:type="spellStart"/>
      <w:r w:rsidRPr="00A074DF">
        <w:rPr>
          <w:sz w:val="22"/>
          <w:szCs w:val="22"/>
        </w:rPr>
        <w:t>Promotoras</w:t>
      </w:r>
      <w:proofErr w:type="spellEnd"/>
      <w:r w:rsidRPr="00A074DF">
        <w:rPr>
          <w:sz w:val="22"/>
          <w:szCs w:val="22"/>
        </w:rPr>
        <w:t xml:space="preserve"> recognized stress as </w:t>
      </w:r>
      <w:proofErr w:type="gramStart"/>
      <w:r w:rsidRPr="00A074DF">
        <w:rPr>
          <w:sz w:val="22"/>
          <w:szCs w:val="22"/>
        </w:rPr>
        <w:t>an</w:t>
      </w:r>
      <w:proofErr w:type="gramEnd"/>
      <w:r w:rsidRPr="00A074DF">
        <w:rPr>
          <w:sz w:val="22"/>
          <w:szCs w:val="22"/>
        </w:rPr>
        <w:t xml:space="preserve"> ubiquitous factor in their lives for desired situations (new job) and undesired ones (separation from family and racism). </w:t>
      </w:r>
      <w:proofErr w:type="spellStart"/>
      <w:r w:rsidRPr="00A074DF">
        <w:rPr>
          <w:sz w:val="22"/>
          <w:szCs w:val="22"/>
        </w:rPr>
        <w:t>Promotoras</w:t>
      </w:r>
      <w:proofErr w:type="spellEnd"/>
      <w:r w:rsidRPr="00A074DF">
        <w:rPr>
          <w:sz w:val="22"/>
          <w:szCs w:val="22"/>
        </w:rPr>
        <w:t xml:space="preserve"> acknowledged emotional and physical manifestations of stress including: adapting to foreign cultural norms and systems, isolation from family and support, burdens of family responsibilities, and domestic violence.</w:t>
      </w:r>
    </w:p>
    <w:p w14:paraId="15C19318" w14:textId="77777777" w:rsidR="00994F39" w:rsidRDefault="00994F39" w:rsidP="00994F39">
      <w:pPr>
        <w:jc w:val="both"/>
        <w:rPr>
          <w:sz w:val="22"/>
          <w:szCs w:val="22"/>
        </w:rPr>
      </w:pPr>
    </w:p>
    <w:p w14:paraId="3E34C314" w14:textId="77777777" w:rsidR="00A074DF" w:rsidRDefault="00A074DF" w:rsidP="00994F39">
      <w:pPr>
        <w:jc w:val="both"/>
        <w:rPr>
          <w:sz w:val="22"/>
          <w:szCs w:val="22"/>
        </w:rPr>
      </w:pPr>
      <w:r w:rsidRPr="00A074DF">
        <w:rPr>
          <w:sz w:val="22"/>
          <w:szCs w:val="22"/>
        </w:rPr>
        <w:t xml:space="preserve">While reflecting upon the stressors they encounter, </w:t>
      </w:r>
      <w:proofErr w:type="spellStart"/>
      <w:r w:rsidRPr="00A074DF">
        <w:rPr>
          <w:sz w:val="22"/>
          <w:szCs w:val="22"/>
        </w:rPr>
        <w:t>promotoras</w:t>
      </w:r>
      <w:proofErr w:type="spellEnd"/>
      <w:r w:rsidRPr="00A074DF">
        <w:rPr>
          <w:sz w:val="22"/>
          <w:szCs w:val="22"/>
        </w:rPr>
        <w:t xml:space="preserve"> were asked to describe their current self-help strategies.  Table 3 describes self-disclosed coping strategies (first </w:t>
      </w:r>
      <w:r w:rsidRPr="00A074DF">
        <w:rPr>
          <w:sz w:val="22"/>
          <w:szCs w:val="22"/>
        </w:rPr>
        <w:lastRenderedPageBreak/>
        <w:t xml:space="preserve">wave) </w:t>
      </w:r>
      <w:proofErr w:type="spellStart"/>
      <w:r w:rsidRPr="00A074DF">
        <w:rPr>
          <w:sz w:val="22"/>
          <w:szCs w:val="22"/>
        </w:rPr>
        <w:t>promotoras</w:t>
      </w:r>
      <w:proofErr w:type="spellEnd"/>
      <w:r w:rsidRPr="00A074DF">
        <w:rPr>
          <w:sz w:val="22"/>
          <w:szCs w:val="22"/>
        </w:rPr>
        <w:t xml:space="preserve"> documented on worksheets and small group discussion.  Second wave strategies list tangible examples of healthy coping strategies introduced to </w:t>
      </w:r>
      <w:proofErr w:type="spellStart"/>
      <w:r w:rsidRPr="00A074DF">
        <w:rPr>
          <w:sz w:val="22"/>
          <w:szCs w:val="22"/>
        </w:rPr>
        <w:t>promotoras</w:t>
      </w:r>
      <w:proofErr w:type="spellEnd"/>
      <w:r w:rsidRPr="00A074DF">
        <w:rPr>
          <w:sz w:val="22"/>
          <w:szCs w:val="22"/>
        </w:rPr>
        <w:t xml:space="preserve"> during intervention activities and included in the “comfort baskets”.  Additionally, self-disclosure of first wave coping strategies among </w:t>
      </w:r>
      <w:proofErr w:type="spellStart"/>
      <w:r w:rsidRPr="00A074DF">
        <w:rPr>
          <w:sz w:val="22"/>
          <w:szCs w:val="22"/>
        </w:rPr>
        <w:t>promotoras</w:t>
      </w:r>
      <w:proofErr w:type="spellEnd"/>
      <w:r w:rsidRPr="00A074DF">
        <w:rPr>
          <w:sz w:val="22"/>
          <w:szCs w:val="22"/>
        </w:rPr>
        <w:t xml:space="preserve"> exposed their peers to second wave strategies to consider. Third wave lists the variety of mental health and other community professionals introduced to </w:t>
      </w:r>
      <w:proofErr w:type="spellStart"/>
      <w:r w:rsidRPr="00A074DF">
        <w:rPr>
          <w:sz w:val="22"/>
          <w:szCs w:val="22"/>
        </w:rPr>
        <w:t>promotoras</w:t>
      </w:r>
      <w:proofErr w:type="spellEnd"/>
      <w:r w:rsidRPr="00A074DF">
        <w:rPr>
          <w:sz w:val="22"/>
          <w:szCs w:val="22"/>
        </w:rPr>
        <w:t xml:space="preserve">, </w:t>
      </w:r>
      <w:proofErr w:type="spellStart"/>
      <w:r w:rsidRPr="00A074DF">
        <w:rPr>
          <w:sz w:val="22"/>
          <w:szCs w:val="22"/>
        </w:rPr>
        <w:t>compañeras</w:t>
      </w:r>
      <w:proofErr w:type="spellEnd"/>
      <w:r w:rsidRPr="00A074DF">
        <w:rPr>
          <w:sz w:val="22"/>
          <w:szCs w:val="22"/>
        </w:rPr>
        <w:t>, and their partn</w:t>
      </w:r>
      <w:r w:rsidR="00994F39">
        <w:rPr>
          <w:sz w:val="22"/>
          <w:szCs w:val="22"/>
        </w:rPr>
        <w:t>ers during session activities.</w:t>
      </w:r>
    </w:p>
    <w:p w14:paraId="092CBB6C" w14:textId="77777777" w:rsidR="00994F39" w:rsidRDefault="00994F39" w:rsidP="00994F39">
      <w:pPr>
        <w:jc w:val="both"/>
        <w:rPr>
          <w:sz w:val="22"/>
          <w:szCs w:val="22"/>
        </w:rPr>
      </w:pPr>
    </w:p>
    <w:p w14:paraId="141ED9F5" w14:textId="77777777" w:rsidR="00A074DF" w:rsidRPr="00A074DF" w:rsidRDefault="00A074DF" w:rsidP="00994F39">
      <w:pPr>
        <w:jc w:val="both"/>
        <w:rPr>
          <w:sz w:val="22"/>
          <w:szCs w:val="22"/>
        </w:rPr>
      </w:pPr>
      <w:proofErr w:type="spellStart"/>
      <w:r w:rsidRPr="00A074DF">
        <w:rPr>
          <w:sz w:val="22"/>
          <w:szCs w:val="22"/>
        </w:rPr>
        <w:t>Promotoras</w:t>
      </w:r>
      <w:proofErr w:type="spellEnd"/>
      <w:r w:rsidRPr="00A074DF">
        <w:rPr>
          <w:sz w:val="22"/>
          <w:szCs w:val="22"/>
        </w:rPr>
        <w:t xml:space="preserve"> completed brief session evaluations describing what they liked and disliked. Overwhelmingly the responses were positive.  </w:t>
      </w:r>
      <w:proofErr w:type="spellStart"/>
      <w:r w:rsidRPr="00A074DF">
        <w:rPr>
          <w:sz w:val="22"/>
          <w:szCs w:val="22"/>
        </w:rPr>
        <w:t>Promotoras</w:t>
      </w:r>
      <w:proofErr w:type="spellEnd"/>
      <w:r w:rsidRPr="00A074DF">
        <w:rPr>
          <w:sz w:val="22"/>
          <w:szCs w:val="22"/>
        </w:rPr>
        <w:t xml:space="preserve"> felt the ses</w:t>
      </w:r>
      <w:r w:rsidR="00994F39">
        <w:rPr>
          <w:sz w:val="22"/>
          <w:szCs w:val="22"/>
        </w:rPr>
        <w:t>sion format was safe welcoming.</w:t>
      </w:r>
      <w:r w:rsidRPr="00A074DF">
        <w:rPr>
          <w:sz w:val="22"/>
          <w:szCs w:val="22"/>
        </w:rPr>
        <w:t xml:space="preserve"> They felt comfortable asking questions of facilitators and guest presenters and thought the format helped them learn more abo</w:t>
      </w:r>
      <w:r w:rsidR="00994F39">
        <w:rPr>
          <w:sz w:val="22"/>
          <w:szCs w:val="22"/>
        </w:rPr>
        <w:t xml:space="preserve">ut resources in the community. </w:t>
      </w:r>
      <w:r w:rsidRPr="00A074DF">
        <w:rPr>
          <w:sz w:val="22"/>
          <w:szCs w:val="22"/>
        </w:rPr>
        <w:t>They enjoyed being able to share their experiences with one another, the homework assignments, and comfort basket items.  Addition materials and session time was requested regarding topics such as self-esteem, marital and intimacy issues within relationships</w:t>
      </w:r>
      <w:r w:rsidR="00994F39">
        <w:rPr>
          <w:sz w:val="22"/>
          <w:szCs w:val="22"/>
        </w:rPr>
        <w:t>, and employment opportunities.</w:t>
      </w:r>
    </w:p>
    <w:p w14:paraId="7E9C368F" w14:textId="77777777" w:rsidR="00994F39" w:rsidRDefault="00994F39" w:rsidP="00994F39">
      <w:pPr>
        <w:jc w:val="both"/>
        <w:rPr>
          <w:sz w:val="22"/>
          <w:szCs w:val="22"/>
        </w:rPr>
      </w:pPr>
    </w:p>
    <w:p w14:paraId="49E612BF" w14:textId="77777777" w:rsidR="00A074DF" w:rsidRPr="00A074DF" w:rsidRDefault="00A074DF" w:rsidP="00994F39">
      <w:pPr>
        <w:jc w:val="both"/>
        <w:rPr>
          <w:sz w:val="22"/>
          <w:szCs w:val="22"/>
        </w:rPr>
      </w:pPr>
      <w:r w:rsidRPr="00A074DF">
        <w:rPr>
          <w:sz w:val="22"/>
          <w:szCs w:val="22"/>
        </w:rPr>
        <w:t xml:space="preserve">During monthly booster sessions, </w:t>
      </w:r>
      <w:proofErr w:type="spellStart"/>
      <w:r w:rsidRPr="00A074DF">
        <w:rPr>
          <w:sz w:val="22"/>
          <w:szCs w:val="22"/>
        </w:rPr>
        <w:t>promotoras</w:t>
      </w:r>
      <w:proofErr w:type="spellEnd"/>
      <w:r w:rsidRPr="00A074DF">
        <w:rPr>
          <w:sz w:val="22"/>
          <w:szCs w:val="22"/>
        </w:rPr>
        <w:t xml:space="preserve"> reported on the reach of information and resource dissemination through one-on-one interactions (n=130) and</w:t>
      </w:r>
      <w:r w:rsidR="00994F39">
        <w:rPr>
          <w:sz w:val="22"/>
          <w:szCs w:val="22"/>
        </w:rPr>
        <w:t xml:space="preserve"> group presentations (n=38). </w:t>
      </w:r>
      <w:r w:rsidRPr="00A074DF">
        <w:rPr>
          <w:sz w:val="22"/>
          <w:szCs w:val="22"/>
        </w:rPr>
        <w:t xml:space="preserve">In the nine months following the training, </w:t>
      </w:r>
      <w:proofErr w:type="spellStart"/>
      <w:r w:rsidRPr="00A074DF">
        <w:rPr>
          <w:sz w:val="22"/>
          <w:szCs w:val="22"/>
        </w:rPr>
        <w:t>promotoras</w:t>
      </w:r>
      <w:proofErr w:type="spellEnd"/>
      <w:r w:rsidRPr="00A074DF">
        <w:rPr>
          <w:sz w:val="22"/>
          <w:szCs w:val="22"/>
        </w:rPr>
        <w:t xml:space="preserve"> reported 425 interactions with Latina</w:t>
      </w:r>
      <w:r w:rsidR="00994F39">
        <w:rPr>
          <w:sz w:val="22"/>
          <w:szCs w:val="22"/>
        </w:rPr>
        <w:t xml:space="preserve">s. </w:t>
      </w:r>
      <w:r w:rsidRPr="00A074DF">
        <w:rPr>
          <w:sz w:val="22"/>
          <w:szCs w:val="22"/>
        </w:rPr>
        <w:t>The type of interactions include referrals to local mental health agencies (40%), referrals to other community resources, such as WIC, health care services, and domestic violence assistance (22%), modeling or sharing items from their comfort baskets (18%), and transportation assistance (20%)</w:t>
      </w:r>
      <w:r w:rsidR="00994F39">
        <w:rPr>
          <w:sz w:val="22"/>
          <w:szCs w:val="22"/>
        </w:rPr>
        <w:t>.</w:t>
      </w:r>
    </w:p>
    <w:p w14:paraId="1A69FA89" w14:textId="77777777" w:rsidR="00994F39" w:rsidRDefault="00994F39" w:rsidP="00A074DF">
      <w:pPr>
        <w:tabs>
          <w:tab w:val="left" w:pos="2775"/>
        </w:tabs>
        <w:jc w:val="both"/>
        <w:rPr>
          <w:b/>
          <w:sz w:val="22"/>
          <w:szCs w:val="22"/>
        </w:rPr>
      </w:pPr>
    </w:p>
    <w:p w14:paraId="6EBD28BE" w14:textId="77777777" w:rsidR="00A074DF" w:rsidRDefault="00A074DF" w:rsidP="00994F39">
      <w:pPr>
        <w:tabs>
          <w:tab w:val="left" w:pos="2775"/>
        </w:tabs>
        <w:jc w:val="center"/>
        <w:rPr>
          <w:b/>
          <w:sz w:val="22"/>
          <w:szCs w:val="22"/>
        </w:rPr>
      </w:pPr>
      <w:r w:rsidRPr="00A074DF">
        <w:rPr>
          <w:b/>
          <w:sz w:val="22"/>
          <w:szCs w:val="22"/>
        </w:rPr>
        <w:t>Discussion</w:t>
      </w:r>
    </w:p>
    <w:p w14:paraId="69D0EC18" w14:textId="77777777" w:rsidR="00994F39" w:rsidRPr="00A074DF" w:rsidRDefault="00994F39" w:rsidP="00994F39">
      <w:pPr>
        <w:tabs>
          <w:tab w:val="left" w:pos="2775"/>
        </w:tabs>
        <w:jc w:val="center"/>
        <w:rPr>
          <w:b/>
          <w:sz w:val="22"/>
          <w:szCs w:val="22"/>
        </w:rPr>
      </w:pPr>
    </w:p>
    <w:p w14:paraId="0EFE444A" w14:textId="77777777" w:rsidR="00A074DF" w:rsidRDefault="00A074DF" w:rsidP="00994F39">
      <w:pPr>
        <w:tabs>
          <w:tab w:val="left" w:pos="2775"/>
        </w:tabs>
        <w:contextualSpacing/>
        <w:jc w:val="both"/>
        <w:rPr>
          <w:sz w:val="22"/>
          <w:szCs w:val="22"/>
        </w:rPr>
      </w:pPr>
      <w:r w:rsidRPr="00A074DF">
        <w:rPr>
          <w:sz w:val="22"/>
          <w:szCs w:val="22"/>
        </w:rPr>
        <w:t xml:space="preserve">Through a collaborative effort, we created ALMA, a ten-session curriculum on stress and coping strategies for Latina immigrants. This theory-based intervention builds on the strengths of the community both through a peer support framework and the existing coping strategies </w:t>
      </w:r>
      <w:r w:rsidRPr="00A074DF">
        <w:rPr>
          <w:sz w:val="22"/>
          <w:szCs w:val="22"/>
        </w:rPr>
        <w:lastRenderedPageBreak/>
        <w:t>that individual participants already possess</w:t>
      </w:r>
      <w:r w:rsidR="00994F39">
        <w:rPr>
          <w:sz w:val="22"/>
          <w:szCs w:val="22"/>
        </w:rPr>
        <w:t xml:space="preserve">. </w:t>
      </w:r>
      <w:r w:rsidRPr="00A074DF">
        <w:rPr>
          <w:sz w:val="22"/>
          <w:szCs w:val="22"/>
        </w:rPr>
        <w:t xml:space="preserve">The strengths of Latinas are emphasized during first and second wave components of the curriculum while </w:t>
      </w:r>
      <w:proofErr w:type="spellStart"/>
      <w:r w:rsidRPr="00A074DF">
        <w:rPr>
          <w:sz w:val="22"/>
          <w:szCs w:val="22"/>
        </w:rPr>
        <w:t>promotoras</w:t>
      </w:r>
      <w:proofErr w:type="spellEnd"/>
      <w:r w:rsidRPr="00A074DF">
        <w:rPr>
          <w:sz w:val="22"/>
          <w:szCs w:val="22"/>
        </w:rPr>
        <w:t xml:space="preserve"> reflect on their existing coping strategies</w:t>
      </w:r>
      <w:r w:rsidR="00994F39">
        <w:rPr>
          <w:sz w:val="22"/>
          <w:szCs w:val="22"/>
        </w:rPr>
        <w:t>.</w:t>
      </w:r>
      <w:r w:rsidRPr="00A074DF">
        <w:rPr>
          <w:sz w:val="22"/>
          <w:szCs w:val="22"/>
        </w:rPr>
        <w:t xml:space="preserve"> Additional coping strategies and access to community resources are presented as new strategies to ‘try-on’ that are complimentary to their own rather than in place of them</w:t>
      </w:r>
      <w:r w:rsidR="00994F39">
        <w:rPr>
          <w:sz w:val="22"/>
          <w:szCs w:val="22"/>
        </w:rPr>
        <w:t xml:space="preserve">. </w:t>
      </w:r>
      <w:r w:rsidRPr="00A074DF">
        <w:rPr>
          <w:sz w:val="22"/>
          <w:szCs w:val="22"/>
        </w:rPr>
        <w:t>These considerations are consistent with key findings from a meta-analysis of cultural adaptations to mental health interventions</w:t>
      </w:r>
      <w:r w:rsidR="00994F39">
        <w:rPr>
          <w:sz w:val="22"/>
          <w:szCs w:val="22"/>
        </w:rPr>
        <w:t xml:space="preserve">. </w:t>
      </w:r>
      <w:proofErr w:type="spellStart"/>
      <w:r w:rsidRPr="00A074DF">
        <w:rPr>
          <w:sz w:val="22"/>
          <w:szCs w:val="22"/>
        </w:rPr>
        <w:t>Griner</w:t>
      </w:r>
      <w:proofErr w:type="spellEnd"/>
      <w:r w:rsidRPr="00A074DF">
        <w:rPr>
          <w:sz w:val="22"/>
          <w:szCs w:val="22"/>
        </w:rPr>
        <w:t xml:space="preserve"> and Smith’s review of culturally adapted mental health interventions found the following characteristics yield more effective client outcomes across various conditions and outcome measures:</w:t>
      </w:r>
      <w:r w:rsidR="00994F39">
        <w:rPr>
          <w:sz w:val="22"/>
          <w:szCs w:val="22"/>
        </w:rPr>
        <w:t xml:space="preserve"> </w:t>
      </w:r>
      <w:r w:rsidRPr="00A074DF">
        <w:rPr>
          <w:sz w:val="22"/>
          <w:szCs w:val="22"/>
        </w:rPr>
        <w:t xml:space="preserve">tailoring to specific cultural groups, conducting interventions in the clients’ native language, and endorsing local support resources, spiritual traditions, and extended family </w:t>
      </w:r>
      <w:r w:rsidRPr="00A074DF">
        <w:rPr>
          <w:noProof/>
          <w:sz w:val="22"/>
          <w:szCs w:val="22"/>
        </w:rPr>
        <w:t>(Griner et al., 2006)</w:t>
      </w:r>
      <w:r w:rsidRPr="00A074DF">
        <w:rPr>
          <w:sz w:val="22"/>
          <w:szCs w:val="22"/>
        </w:rPr>
        <w:t>.</w:t>
      </w:r>
    </w:p>
    <w:p w14:paraId="4B8E901E" w14:textId="77777777" w:rsidR="00994F39" w:rsidRDefault="00994F39" w:rsidP="00994F39">
      <w:pPr>
        <w:tabs>
          <w:tab w:val="left" w:pos="720"/>
          <w:tab w:val="left" w:pos="2775"/>
        </w:tabs>
        <w:contextualSpacing/>
        <w:jc w:val="both"/>
        <w:rPr>
          <w:sz w:val="22"/>
          <w:szCs w:val="22"/>
        </w:rPr>
      </w:pPr>
    </w:p>
    <w:p w14:paraId="373BA272" w14:textId="77777777" w:rsidR="00A074DF" w:rsidRPr="00A074DF" w:rsidRDefault="00A074DF" w:rsidP="00994F39">
      <w:pPr>
        <w:tabs>
          <w:tab w:val="left" w:pos="720"/>
          <w:tab w:val="left" w:pos="2775"/>
        </w:tabs>
        <w:contextualSpacing/>
        <w:jc w:val="both"/>
        <w:rPr>
          <w:sz w:val="22"/>
          <w:szCs w:val="22"/>
        </w:rPr>
      </w:pPr>
      <w:r w:rsidRPr="00A074DF">
        <w:rPr>
          <w:sz w:val="22"/>
          <w:szCs w:val="22"/>
        </w:rPr>
        <w:t>One of our goals was to integrate cultural values in ALMA – importance of family, including extended family, connection through physic</w:t>
      </w:r>
      <w:r w:rsidR="00994F39">
        <w:rPr>
          <w:sz w:val="22"/>
          <w:szCs w:val="22"/>
        </w:rPr>
        <w:t xml:space="preserve">al affection, and communalism. </w:t>
      </w:r>
      <w:r w:rsidRPr="00A074DF">
        <w:rPr>
          <w:sz w:val="22"/>
          <w:szCs w:val="22"/>
        </w:rPr>
        <w:t xml:space="preserve">ALMA session components reflected synergy with </w:t>
      </w:r>
      <w:proofErr w:type="spellStart"/>
      <w:r w:rsidRPr="00A074DF">
        <w:rPr>
          <w:sz w:val="22"/>
          <w:szCs w:val="22"/>
        </w:rPr>
        <w:t>promotora</w:t>
      </w:r>
      <w:proofErr w:type="spellEnd"/>
      <w:r w:rsidRPr="00A074DF">
        <w:rPr>
          <w:sz w:val="22"/>
          <w:szCs w:val="22"/>
        </w:rPr>
        <w:t xml:space="preserve"> priority concerns and acknowledgement of support from extended family by creating homemade greeting cards, distributing calling cards, developing inclusive sessions with partners, and disseminating information on resources relevant to the family unit such as local school systems and local recreation centers</w:t>
      </w:r>
      <w:r w:rsidR="00994F39">
        <w:rPr>
          <w:sz w:val="22"/>
          <w:szCs w:val="22"/>
        </w:rPr>
        <w:t>.</w:t>
      </w:r>
    </w:p>
    <w:p w14:paraId="05D3B733" w14:textId="77777777" w:rsidR="00994F39" w:rsidRDefault="00994F39" w:rsidP="00994F39">
      <w:pPr>
        <w:tabs>
          <w:tab w:val="left" w:pos="720"/>
          <w:tab w:val="left" w:pos="2775"/>
        </w:tabs>
        <w:contextualSpacing/>
        <w:jc w:val="both"/>
        <w:rPr>
          <w:sz w:val="22"/>
          <w:szCs w:val="22"/>
        </w:rPr>
      </w:pPr>
    </w:p>
    <w:p w14:paraId="2627D374" w14:textId="77777777" w:rsidR="00A074DF" w:rsidRDefault="00A074DF" w:rsidP="00994F39">
      <w:pPr>
        <w:tabs>
          <w:tab w:val="left" w:pos="720"/>
          <w:tab w:val="left" w:pos="2775"/>
        </w:tabs>
        <w:contextualSpacing/>
        <w:jc w:val="both"/>
        <w:rPr>
          <w:sz w:val="22"/>
          <w:szCs w:val="22"/>
        </w:rPr>
      </w:pPr>
      <w:r w:rsidRPr="00A074DF">
        <w:rPr>
          <w:sz w:val="22"/>
          <w:szCs w:val="22"/>
        </w:rPr>
        <w:t>We propose that components delivered by bilingual and bicultural staff engender trust and less hesitancy to try new and potentially foreign coping strategies such as meditatio</w:t>
      </w:r>
      <w:r w:rsidR="00994F39">
        <w:rPr>
          <w:sz w:val="22"/>
          <w:szCs w:val="22"/>
        </w:rPr>
        <w:t>n, yoga, and professional help.</w:t>
      </w:r>
      <w:r w:rsidRPr="00A074DF">
        <w:rPr>
          <w:sz w:val="22"/>
          <w:szCs w:val="22"/>
        </w:rPr>
        <w:t xml:space="preserve"> Individual and consistent contact with the </w:t>
      </w:r>
      <w:proofErr w:type="spellStart"/>
      <w:r w:rsidRPr="00A074DF">
        <w:rPr>
          <w:sz w:val="22"/>
          <w:szCs w:val="22"/>
        </w:rPr>
        <w:t>promotoras</w:t>
      </w:r>
      <w:proofErr w:type="spellEnd"/>
      <w:r w:rsidRPr="00A074DF">
        <w:rPr>
          <w:sz w:val="22"/>
          <w:szCs w:val="22"/>
        </w:rPr>
        <w:t xml:space="preserve"> before, during, and following the training contributed to a strong rapport with the study team that translated into high rates of retention in the sessions and over t</w:t>
      </w:r>
      <w:r w:rsidR="00994F39">
        <w:rPr>
          <w:sz w:val="22"/>
          <w:szCs w:val="22"/>
        </w:rPr>
        <w:t xml:space="preserve">he course of the intervention. </w:t>
      </w:r>
      <w:r w:rsidRPr="00A074DF">
        <w:rPr>
          <w:sz w:val="22"/>
          <w:szCs w:val="22"/>
        </w:rPr>
        <w:t xml:space="preserve">The rapport developed between the research staff and the </w:t>
      </w:r>
      <w:proofErr w:type="spellStart"/>
      <w:r w:rsidRPr="00A074DF">
        <w:rPr>
          <w:sz w:val="22"/>
          <w:szCs w:val="22"/>
        </w:rPr>
        <w:t>promotoras</w:t>
      </w:r>
      <w:proofErr w:type="spellEnd"/>
      <w:r w:rsidRPr="00A074DF">
        <w:rPr>
          <w:sz w:val="22"/>
          <w:szCs w:val="22"/>
        </w:rPr>
        <w:t xml:space="preserve"> also helped identify individual needs for </w:t>
      </w:r>
      <w:proofErr w:type="spellStart"/>
      <w:r w:rsidRPr="00A074DF">
        <w:rPr>
          <w:sz w:val="22"/>
          <w:szCs w:val="22"/>
        </w:rPr>
        <w:t>promotoras</w:t>
      </w:r>
      <w:proofErr w:type="spellEnd"/>
      <w:r w:rsidRPr="00A074DF">
        <w:rPr>
          <w:sz w:val="22"/>
          <w:szCs w:val="22"/>
        </w:rPr>
        <w:t xml:space="preserve"> that included referrals to local resources and mental health services for </w:t>
      </w:r>
      <w:proofErr w:type="spellStart"/>
      <w:r w:rsidRPr="00A074DF">
        <w:rPr>
          <w:sz w:val="22"/>
          <w:szCs w:val="22"/>
        </w:rPr>
        <w:t>promotoras</w:t>
      </w:r>
      <w:proofErr w:type="spellEnd"/>
      <w:r w:rsidRPr="00A074DF">
        <w:rPr>
          <w:sz w:val="22"/>
          <w:szCs w:val="22"/>
        </w:rPr>
        <w:t>, their f</w:t>
      </w:r>
      <w:r w:rsidR="00994F39">
        <w:rPr>
          <w:sz w:val="22"/>
          <w:szCs w:val="22"/>
        </w:rPr>
        <w:t xml:space="preserve">amily members, and </w:t>
      </w:r>
      <w:proofErr w:type="spellStart"/>
      <w:r w:rsidR="00994F39">
        <w:rPr>
          <w:sz w:val="22"/>
          <w:szCs w:val="22"/>
        </w:rPr>
        <w:t>compañeras</w:t>
      </w:r>
      <w:proofErr w:type="spellEnd"/>
      <w:r w:rsidR="00994F39">
        <w:rPr>
          <w:sz w:val="22"/>
          <w:szCs w:val="22"/>
        </w:rPr>
        <w:t>.</w:t>
      </w:r>
    </w:p>
    <w:p w14:paraId="60E7DE42" w14:textId="77777777" w:rsidR="00A074DF" w:rsidRPr="00A074DF" w:rsidRDefault="00A074DF" w:rsidP="00994F39">
      <w:pPr>
        <w:tabs>
          <w:tab w:val="left" w:pos="720"/>
          <w:tab w:val="left" w:pos="2775"/>
        </w:tabs>
        <w:contextualSpacing/>
        <w:jc w:val="both"/>
        <w:rPr>
          <w:sz w:val="22"/>
          <w:szCs w:val="22"/>
        </w:rPr>
      </w:pPr>
      <w:r w:rsidRPr="00A074DF">
        <w:rPr>
          <w:sz w:val="22"/>
          <w:szCs w:val="22"/>
        </w:rPr>
        <w:lastRenderedPageBreak/>
        <w:t xml:space="preserve">Booster sessions following the training provided an opportunity to reinforce concepts during the training.  The sessions also served as venue to support fellow </w:t>
      </w:r>
      <w:proofErr w:type="spellStart"/>
      <w:r w:rsidRPr="00A074DF">
        <w:rPr>
          <w:sz w:val="22"/>
          <w:szCs w:val="22"/>
        </w:rPr>
        <w:t>promotoras</w:t>
      </w:r>
      <w:proofErr w:type="spellEnd"/>
      <w:r w:rsidRPr="00A074DF">
        <w:rPr>
          <w:sz w:val="22"/>
          <w:szCs w:val="22"/>
        </w:rPr>
        <w:t xml:space="preserve">, exchange resources, and report on experiences aiding </w:t>
      </w:r>
      <w:proofErr w:type="spellStart"/>
      <w:r w:rsidRPr="00A074DF">
        <w:rPr>
          <w:sz w:val="22"/>
          <w:szCs w:val="22"/>
        </w:rPr>
        <w:t>compañeras</w:t>
      </w:r>
      <w:proofErr w:type="spellEnd"/>
      <w:r w:rsidRPr="00A074DF">
        <w:rPr>
          <w:sz w:val="22"/>
          <w:szCs w:val="22"/>
        </w:rPr>
        <w:t xml:space="preserve"> and others. Consideration of a process such as booster sessions to support, retain, and further equip </w:t>
      </w:r>
      <w:proofErr w:type="spellStart"/>
      <w:r w:rsidRPr="00A074DF">
        <w:rPr>
          <w:sz w:val="22"/>
          <w:szCs w:val="22"/>
        </w:rPr>
        <w:t>promotoras</w:t>
      </w:r>
      <w:proofErr w:type="spellEnd"/>
      <w:r w:rsidRPr="00A074DF">
        <w:rPr>
          <w:sz w:val="22"/>
          <w:szCs w:val="22"/>
        </w:rPr>
        <w:t xml:space="preserve"> can also help sustain and st</w:t>
      </w:r>
      <w:r w:rsidR="00994F39">
        <w:rPr>
          <w:sz w:val="22"/>
          <w:szCs w:val="22"/>
        </w:rPr>
        <w:t>rengthen their social network.</w:t>
      </w:r>
    </w:p>
    <w:p w14:paraId="3A467101" w14:textId="77777777" w:rsidR="00A074DF" w:rsidRPr="00A074DF" w:rsidRDefault="00A074DF" w:rsidP="00A074DF">
      <w:pPr>
        <w:tabs>
          <w:tab w:val="left" w:pos="2775"/>
        </w:tabs>
        <w:ind w:firstLine="720"/>
        <w:contextualSpacing/>
        <w:jc w:val="both"/>
        <w:rPr>
          <w:sz w:val="22"/>
          <w:szCs w:val="22"/>
        </w:rPr>
      </w:pPr>
    </w:p>
    <w:p w14:paraId="3B6A03D6" w14:textId="77777777" w:rsidR="00A074DF" w:rsidRPr="00A074DF" w:rsidRDefault="00A074DF" w:rsidP="00A074DF">
      <w:pPr>
        <w:tabs>
          <w:tab w:val="left" w:pos="720"/>
        </w:tabs>
        <w:jc w:val="both"/>
        <w:rPr>
          <w:b/>
          <w:sz w:val="22"/>
          <w:szCs w:val="22"/>
        </w:rPr>
      </w:pPr>
      <w:r w:rsidRPr="00A074DF">
        <w:rPr>
          <w:b/>
          <w:sz w:val="22"/>
          <w:szCs w:val="22"/>
        </w:rPr>
        <w:t>Limitations</w:t>
      </w:r>
    </w:p>
    <w:p w14:paraId="6D2205BA" w14:textId="77777777" w:rsidR="00A074DF" w:rsidRPr="00A074DF" w:rsidRDefault="00A074DF" w:rsidP="00994F39">
      <w:pPr>
        <w:tabs>
          <w:tab w:val="left" w:pos="720"/>
          <w:tab w:val="left" w:pos="2775"/>
        </w:tabs>
        <w:contextualSpacing/>
        <w:jc w:val="both"/>
        <w:rPr>
          <w:sz w:val="22"/>
          <w:szCs w:val="22"/>
        </w:rPr>
      </w:pPr>
      <w:r w:rsidRPr="00A074DF">
        <w:rPr>
          <w:sz w:val="22"/>
          <w:szCs w:val="22"/>
        </w:rPr>
        <w:t>As in any study there are some limitations to this model that need to be considered.</w:t>
      </w:r>
      <w:r w:rsidRPr="00A074DF" w:rsidDel="00CF1DEA">
        <w:rPr>
          <w:sz w:val="22"/>
          <w:szCs w:val="22"/>
        </w:rPr>
        <w:t xml:space="preserve"> </w:t>
      </w:r>
      <w:r w:rsidRPr="00A074DF">
        <w:rPr>
          <w:sz w:val="22"/>
          <w:szCs w:val="22"/>
        </w:rPr>
        <w:t>First, feasibility of this model with other cultural and geographic populations may be a challenge.  Some activities, such as the listening activity, require adaptation to the specific cultural population.  Also, inclusion of local resources and representatives in the delivery of the curriculum requires a dynamic format to support identification and involvement of local experts, presuming bilingual and bicultural experts are available.</w:t>
      </w:r>
    </w:p>
    <w:p w14:paraId="4D429A5E" w14:textId="77777777" w:rsidR="00994F39" w:rsidRDefault="00994F39" w:rsidP="00994F39">
      <w:pPr>
        <w:tabs>
          <w:tab w:val="left" w:pos="720"/>
          <w:tab w:val="left" w:pos="2775"/>
        </w:tabs>
        <w:contextualSpacing/>
        <w:jc w:val="both"/>
        <w:rPr>
          <w:sz w:val="22"/>
          <w:szCs w:val="22"/>
        </w:rPr>
      </w:pPr>
    </w:p>
    <w:p w14:paraId="0F28F446" w14:textId="77777777" w:rsidR="00A074DF" w:rsidRPr="00A074DF" w:rsidRDefault="00A074DF" w:rsidP="00994F39">
      <w:pPr>
        <w:tabs>
          <w:tab w:val="left" w:pos="720"/>
          <w:tab w:val="left" w:pos="2775"/>
        </w:tabs>
        <w:contextualSpacing/>
        <w:jc w:val="both"/>
        <w:rPr>
          <w:sz w:val="22"/>
          <w:szCs w:val="22"/>
        </w:rPr>
      </w:pPr>
      <w:r w:rsidRPr="00A074DF">
        <w:rPr>
          <w:sz w:val="22"/>
          <w:szCs w:val="22"/>
        </w:rPr>
        <w:t xml:space="preserve">Secondly, sustainability beyond the training requires forethought and planning.   Beyond the intensive training process, </w:t>
      </w:r>
      <w:proofErr w:type="spellStart"/>
      <w:r w:rsidRPr="00A074DF">
        <w:rPr>
          <w:sz w:val="22"/>
          <w:szCs w:val="22"/>
        </w:rPr>
        <w:t>promotoras</w:t>
      </w:r>
      <w:proofErr w:type="spellEnd"/>
      <w:r w:rsidRPr="00A074DF">
        <w:rPr>
          <w:sz w:val="22"/>
          <w:szCs w:val="22"/>
        </w:rPr>
        <w:t xml:space="preserve"> may feel abandoned.  We incorporated booster sessions to provide support and continued education, however even those sessions are time limited.  Pairing boosters with local agencies can help connect </w:t>
      </w:r>
      <w:proofErr w:type="spellStart"/>
      <w:r w:rsidRPr="00A074DF">
        <w:rPr>
          <w:sz w:val="22"/>
          <w:szCs w:val="22"/>
        </w:rPr>
        <w:t>promotoras</w:t>
      </w:r>
      <w:proofErr w:type="spellEnd"/>
      <w:r w:rsidRPr="00A074DF">
        <w:rPr>
          <w:sz w:val="22"/>
          <w:szCs w:val="22"/>
        </w:rPr>
        <w:t xml:space="preserve"> with community opportunities for continued education</w:t>
      </w:r>
      <w:r w:rsidR="00994F39">
        <w:rPr>
          <w:sz w:val="22"/>
          <w:szCs w:val="22"/>
        </w:rPr>
        <w:t xml:space="preserve"> and support.</w:t>
      </w:r>
    </w:p>
    <w:p w14:paraId="312FD907" w14:textId="77777777" w:rsidR="00994F39" w:rsidRDefault="00994F39" w:rsidP="00994F39">
      <w:pPr>
        <w:tabs>
          <w:tab w:val="left" w:pos="720"/>
          <w:tab w:val="left" w:pos="2775"/>
        </w:tabs>
        <w:contextualSpacing/>
        <w:jc w:val="both"/>
        <w:rPr>
          <w:sz w:val="22"/>
          <w:szCs w:val="22"/>
        </w:rPr>
      </w:pPr>
    </w:p>
    <w:p w14:paraId="13A5B2D8" w14:textId="77777777" w:rsidR="00A074DF" w:rsidRPr="00A074DF" w:rsidRDefault="00A074DF" w:rsidP="00994F39">
      <w:pPr>
        <w:tabs>
          <w:tab w:val="left" w:pos="720"/>
          <w:tab w:val="left" w:pos="2775"/>
        </w:tabs>
        <w:contextualSpacing/>
        <w:jc w:val="both"/>
        <w:rPr>
          <w:sz w:val="22"/>
          <w:szCs w:val="22"/>
        </w:rPr>
      </w:pPr>
      <w:r w:rsidRPr="00A074DF">
        <w:rPr>
          <w:sz w:val="22"/>
          <w:szCs w:val="22"/>
        </w:rPr>
        <w:t xml:space="preserve">A third limitation is participant reach.  Although </w:t>
      </w:r>
      <w:proofErr w:type="spellStart"/>
      <w:r w:rsidRPr="00A074DF">
        <w:rPr>
          <w:sz w:val="22"/>
          <w:szCs w:val="22"/>
        </w:rPr>
        <w:t>promotoras</w:t>
      </w:r>
      <w:proofErr w:type="spellEnd"/>
      <w:r w:rsidRPr="00A074DF">
        <w:rPr>
          <w:sz w:val="22"/>
          <w:szCs w:val="22"/>
        </w:rPr>
        <w:t xml:space="preserve"> were recruited from a variety of settings, all 20 were referred through a connection to other Latinos or Latino serving agencies, which implies existing connection t</w:t>
      </w:r>
      <w:r w:rsidR="00994F39">
        <w:rPr>
          <w:sz w:val="22"/>
          <w:szCs w:val="22"/>
        </w:rPr>
        <w:t xml:space="preserve">o support and local resources. </w:t>
      </w:r>
      <w:r w:rsidRPr="00A074DF">
        <w:rPr>
          <w:sz w:val="22"/>
          <w:szCs w:val="22"/>
        </w:rPr>
        <w:t>Additional approaches to identify socially isolated and more recently immigrated participa</w:t>
      </w:r>
      <w:r w:rsidR="00994F39">
        <w:rPr>
          <w:sz w:val="22"/>
          <w:szCs w:val="22"/>
        </w:rPr>
        <w:t xml:space="preserve">nts may need to be considered. </w:t>
      </w:r>
      <w:r w:rsidRPr="00A074DF">
        <w:rPr>
          <w:sz w:val="22"/>
          <w:szCs w:val="22"/>
        </w:rPr>
        <w:t>While this pilot of ALMA resulted in high participation throughout the sessions, the length of the program and booster sessions may be a deterren</w:t>
      </w:r>
      <w:r w:rsidR="00994F39">
        <w:rPr>
          <w:sz w:val="22"/>
          <w:szCs w:val="22"/>
        </w:rPr>
        <w:t>t for women with less support.</w:t>
      </w:r>
    </w:p>
    <w:p w14:paraId="56CABF04" w14:textId="77777777" w:rsidR="00A074DF" w:rsidRPr="00A074DF" w:rsidRDefault="00A074DF" w:rsidP="00A074DF">
      <w:pPr>
        <w:tabs>
          <w:tab w:val="left" w:pos="2775"/>
        </w:tabs>
        <w:jc w:val="both"/>
        <w:rPr>
          <w:sz w:val="22"/>
          <w:szCs w:val="22"/>
          <w:u w:val="single"/>
        </w:rPr>
      </w:pPr>
    </w:p>
    <w:p w14:paraId="3B0EDF49" w14:textId="77777777" w:rsidR="00A074DF" w:rsidRPr="00A074DF" w:rsidRDefault="00A074DF" w:rsidP="00A074DF">
      <w:pPr>
        <w:tabs>
          <w:tab w:val="left" w:pos="2775"/>
        </w:tabs>
        <w:jc w:val="both"/>
        <w:rPr>
          <w:b/>
          <w:sz w:val="22"/>
          <w:szCs w:val="22"/>
        </w:rPr>
      </w:pPr>
      <w:r w:rsidRPr="00A074DF">
        <w:rPr>
          <w:b/>
          <w:sz w:val="22"/>
          <w:szCs w:val="22"/>
        </w:rPr>
        <w:t>Implications</w:t>
      </w:r>
    </w:p>
    <w:p w14:paraId="4498BD66" w14:textId="77777777" w:rsidR="00A074DF" w:rsidRPr="00A074DF" w:rsidRDefault="00A074DF" w:rsidP="00994F39">
      <w:pPr>
        <w:tabs>
          <w:tab w:val="left" w:pos="2775"/>
        </w:tabs>
        <w:jc w:val="both"/>
        <w:rPr>
          <w:sz w:val="22"/>
          <w:szCs w:val="22"/>
        </w:rPr>
      </w:pPr>
      <w:r w:rsidRPr="00A074DF">
        <w:rPr>
          <w:sz w:val="22"/>
          <w:szCs w:val="22"/>
        </w:rPr>
        <w:t xml:space="preserve">This report on the development of the ALMA curriculum responds to calls for interventions </w:t>
      </w:r>
      <w:r w:rsidRPr="00A074DF">
        <w:rPr>
          <w:sz w:val="22"/>
          <w:szCs w:val="22"/>
        </w:rPr>
        <w:lastRenderedPageBreak/>
        <w:t xml:space="preserve">that reflect the cultural contexts of Latino immigrants </w:t>
      </w:r>
      <w:r w:rsidRPr="00A074DF">
        <w:rPr>
          <w:noProof/>
          <w:sz w:val="22"/>
          <w:szCs w:val="22"/>
        </w:rPr>
        <w:t>(Griner et al., 2006; Trimble et al., 2006)</w:t>
      </w:r>
      <w:r w:rsidRPr="00A074DF">
        <w:rPr>
          <w:sz w:val="22"/>
          <w:szCs w:val="22"/>
        </w:rPr>
        <w:t xml:space="preserve"> and evidence of the adaptation of the lay health advisor model for Latinos </w:t>
      </w:r>
      <w:r w:rsidRPr="00A074DF">
        <w:rPr>
          <w:noProof/>
          <w:sz w:val="22"/>
          <w:szCs w:val="22"/>
        </w:rPr>
        <w:t>(Rhodes et al., 2007)</w:t>
      </w:r>
      <w:r w:rsidRPr="00A074DF">
        <w:rPr>
          <w:sz w:val="22"/>
          <w:szCs w:val="22"/>
        </w:rPr>
        <w:t xml:space="preserve">.  As natural helpers in their communities, </w:t>
      </w:r>
      <w:proofErr w:type="spellStart"/>
      <w:r w:rsidRPr="00A074DF">
        <w:rPr>
          <w:sz w:val="22"/>
          <w:szCs w:val="22"/>
        </w:rPr>
        <w:t>promotoras</w:t>
      </w:r>
      <w:proofErr w:type="spellEnd"/>
      <w:r w:rsidRPr="00A074DF">
        <w:rPr>
          <w:sz w:val="22"/>
          <w:szCs w:val="22"/>
        </w:rPr>
        <w:t xml:space="preserve"> innately relay information and resources to referents within their communities.  The process of sharing experiences with partners and friends and endorsing self-help strategies and local resources may enhance awareness, increased use of those resources, and diminish the stigma of seekin</w:t>
      </w:r>
      <w:r w:rsidR="00994F39">
        <w:rPr>
          <w:sz w:val="22"/>
          <w:szCs w:val="22"/>
        </w:rPr>
        <w:t>g assistance among referents.</w:t>
      </w:r>
    </w:p>
    <w:p w14:paraId="32A6CFA4" w14:textId="77777777" w:rsidR="00994F39" w:rsidRDefault="00994F39" w:rsidP="00994F39">
      <w:pPr>
        <w:tabs>
          <w:tab w:val="left" w:pos="2775"/>
        </w:tabs>
        <w:jc w:val="both"/>
        <w:rPr>
          <w:sz w:val="22"/>
          <w:szCs w:val="22"/>
        </w:rPr>
      </w:pPr>
    </w:p>
    <w:p w14:paraId="44789B66" w14:textId="77777777" w:rsidR="00A074DF" w:rsidRPr="00A074DF" w:rsidRDefault="00A074DF" w:rsidP="00994F39">
      <w:pPr>
        <w:tabs>
          <w:tab w:val="left" w:pos="2775"/>
        </w:tabs>
        <w:jc w:val="both"/>
        <w:rPr>
          <w:sz w:val="22"/>
          <w:szCs w:val="22"/>
        </w:rPr>
      </w:pPr>
      <w:r w:rsidRPr="00A074DF">
        <w:rPr>
          <w:sz w:val="22"/>
          <w:szCs w:val="22"/>
        </w:rPr>
        <w:t xml:space="preserve">While the process evaluation findings of ALMA are promising, findings from forthcoming ALMA outcome evaluation for </w:t>
      </w:r>
      <w:proofErr w:type="spellStart"/>
      <w:r w:rsidRPr="00A074DF">
        <w:rPr>
          <w:sz w:val="22"/>
          <w:szCs w:val="22"/>
        </w:rPr>
        <w:t>promotoras</w:t>
      </w:r>
      <w:proofErr w:type="spellEnd"/>
      <w:r w:rsidRPr="00A074DF">
        <w:rPr>
          <w:sz w:val="22"/>
          <w:szCs w:val="22"/>
        </w:rPr>
        <w:t xml:space="preserve"> and </w:t>
      </w:r>
      <w:proofErr w:type="spellStart"/>
      <w:r w:rsidRPr="00A074DF">
        <w:rPr>
          <w:sz w:val="22"/>
          <w:szCs w:val="22"/>
        </w:rPr>
        <w:t>compañeras</w:t>
      </w:r>
      <w:proofErr w:type="spellEnd"/>
      <w:r w:rsidRPr="00A074DF">
        <w:rPr>
          <w:sz w:val="22"/>
          <w:szCs w:val="22"/>
        </w:rPr>
        <w:t xml:space="preserve"> will be important in determining the program’s impact on awareness of local resources, adoption of healthy coping strategies, and community perceptions of</w:t>
      </w:r>
      <w:r w:rsidR="00994F39">
        <w:rPr>
          <w:sz w:val="22"/>
          <w:szCs w:val="22"/>
        </w:rPr>
        <w:t xml:space="preserve"> strategies to reduce stress. </w:t>
      </w:r>
      <w:r w:rsidRPr="00A074DF">
        <w:rPr>
          <w:sz w:val="22"/>
          <w:szCs w:val="22"/>
        </w:rPr>
        <w:t xml:space="preserve">Rigorous evaluation of lay health advisor models in Latino communities can further our understanding of the roles and limitations of Latina </w:t>
      </w:r>
      <w:proofErr w:type="spellStart"/>
      <w:r w:rsidRPr="00A074DF">
        <w:rPr>
          <w:sz w:val="22"/>
          <w:szCs w:val="22"/>
        </w:rPr>
        <w:t>promotoras</w:t>
      </w:r>
      <w:proofErr w:type="spellEnd"/>
      <w:r w:rsidRPr="00A074DF">
        <w:rPr>
          <w:sz w:val="22"/>
          <w:szCs w:val="22"/>
        </w:rPr>
        <w:t xml:space="preserve"> in mental health as health advisors, referral sources, distributors of materials, community models, and even community advocates. The emphasis on information sharing in the peer support model is traditionally between the </w:t>
      </w:r>
      <w:proofErr w:type="spellStart"/>
      <w:r w:rsidRPr="00A074DF">
        <w:rPr>
          <w:sz w:val="22"/>
          <w:szCs w:val="22"/>
        </w:rPr>
        <w:t>promotora</w:t>
      </w:r>
      <w:proofErr w:type="spellEnd"/>
      <w:r w:rsidRPr="00A074DF">
        <w:rPr>
          <w:sz w:val="22"/>
          <w:szCs w:val="22"/>
        </w:rPr>
        <w:t xml:space="preserve"> and their peers, however, the </w:t>
      </w:r>
      <w:proofErr w:type="spellStart"/>
      <w:r w:rsidRPr="00A074DF">
        <w:rPr>
          <w:sz w:val="22"/>
          <w:szCs w:val="22"/>
        </w:rPr>
        <w:t>promotora’s</w:t>
      </w:r>
      <w:proofErr w:type="spellEnd"/>
      <w:r w:rsidRPr="00A074DF">
        <w:rPr>
          <w:sz w:val="22"/>
          <w:szCs w:val="22"/>
        </w:rPr>
        <w:t xml:space="preserve"> insider lens can also enhance learning and consciousness </w:t>
      </w:r>
      <w:proofErr w:type="gramStart"/>
      <w:r w:rsidRPr="00A074DF">
        <w:rPr>
          <w:sz w:val="22"/>
          <w:szCs w:val="22"/>
        </w:rPr>
        <w:t>raising</w:t>
      </w:r>
      <w:proofErr w:type="gramEnd"/>
      <w:r w:rsidRPr="00A074DF">
        <w:rPr>
          <w:sz w:val="22"/>
          <w:szCs w:val="22"/>
        </w:rPr>
        <w:t xml:space="preserve"> among researchers and health professionals to enhance the development and delivery of culturally appropriate, responsive, and effective mental hea</w:t>
      </w:r>
      <w:r w:rsidR="00994F39">
        <w:rPr>
          <w:sz w:val="22"/>
          <w:szCs w:val="22"/>
        </w:rPr>
        <w:t>lth interventions and services.</w:t>
      </w:r>
    </w:p>
    <w:p w14:paraId="61EE6335" w14:textId="77777777" w:rsidR="00A074DF" w:rsidRPr="00A074DF" w:rsidRDefault="00A074DF" w:rsidP="00A074DF">
      <w:pPr>
        <w:tabs>
          <w:tab w:val="left" w:pos="2775"/>
        </w:tabs>
        <w:ind w:firstLine="720"/>
        <w:jc w:val="both"/>
        <w:rPr>
          <w:sz w:val="22"/>
          <w:szCs w:val="22"/>
        </w:rPr>
      </w:pPr>
    </w:p>
    <w:p w14:paraId="1160C937" w14:textId="77777777" w:rsidR="00A074DF" w:rsidRPr="00A074DF" w:rsidRDefault="00A074DF" w:rsidP="00A074DF">
      <w:pPr>
        <w:jc w:val="both"/>
        <w:rPr>
          <w:b/>
          <w:sz w:val="22"/>
          <w:szCs w:val="22"/>
        </w:rPr>
      </w:pPr>
      <w:r w:rsidRPr="00A074DF">
        <w:rPr>
          <w:b/>
          <w:sz w:val="22"/>
          <w:szCs w:val="22"/>
        </w:rPr>
        <w:t>Acknowledgements</w:t>
      </w:r>
    </w:p>
    <w:p w14:paraId="4913F81B" w14:textId="77777777" w:rsidR="00854FD0" w:rsidRPr="00A074DF" w:rsidRDefault="00A074DF" w:rsidP="00A074DF">
      <w:pPr>
        <w:jc w:val="both"/>
        <w:rPr>
          <w:sz w:val="22"/>
          <w:szCs w:val="22"/>
        </w:rPr>
      </w:pPr>
      <w:r w:rsidRPr="00A074DF">
        <w:rPr>
          <w:sz w:val="22"/>
          <w:szCs w:val="22"/>
        </w:rPr>
        <w:t xml:space="preserve">“ALMA - </w:t>
      </w:r>
      <w:proofErr w:type="spellStart"/>
      <w:r w:rsidRPr="00A074DF">
        <w:rPr>
          <w:sz w:val="22"/>
          <w:szCs w:val="22"/>
        </w:rPr>
        <w:t>Amigas</w:t>
      </w:r>
      <w:proofErr w:type="spellEnd"/>
      <w:r w:rsidRPr="00A074DF">
        <w:rPr>
          <w:sz w:val="22"/>
          <w:szCs w:val="22"/>
        </w:rPr>
        <w:t xml:space="preserve"> Latinas </w:t>
      </w:r>
      <w:proofErr w:type="spellStart"/>
      <w:r w:rsidRPr="00A074DF">
        <w:rPr>
          <w:sz w:val="22"/>
          <w:szCs w:val="22"/>
        </w:rPr>
        <w:t>Motivando</w:t>
      </w:r>
      <w:proofErr w:type="spellEnd"/>
      <w:r w:rsidRPr="00A074DF">
        <w:rPr>
          <w:sz w:val="22"/>
          <w:szCs w:val="22"/>
        </w:rPr>
        <w:t xml:space="preserve"> el Alma” or “Latina Friends Motivating the Soul” is an inter-university Duke University-University of North Carolina-GlaxoSmithKline Health Disparities Initiative.  It is supported by a grant from the North Carolina GlaxoSmithKline Foundation of Research Triangle Park, NC. This research was also supported by grants from the National Center for Research Resources, a component of the National Institutes of Health (NIH) (UL1RR024128 and UL1RR0257470, and NIH Roadmap for Medical Research. The authors would like to express their gratitude to </w:t>
      </w:r>
      <w:r w:rsidRPr="00A074DF">
        <w:rPr>
          <w:sz w:val="22"/>
          <w:szCs w:val="22"/>
        </w:rPr>
        <w:lastRenderedPageBreak/>
        <w:t xml:space="preserve">Susan </w:t>
      </w:r>
      <w:proofErr w:type="spellStart"/>
      <w:r w:rsidRPr="00A074DF">
        <w:rPr>
          <w:sz w:val="22"/>
          <w:szCs w:val="22"/>
        </w:rPr>
        <w:t>Yaggy</w:t>
      </w:r>
      <w:proofErr w:type="spellEnd"/>
      <w:r w:rsidRPr="00A074DF">
        <w:rPr>
          <w:sz w:val="22"/>
          <w:szCs w:val="22"/>
        </w:rPr>
        <w:t xml:space="preserve"> for her leadership in the initial conceptualization of ALMA and to our Community and Academic Advisory Committees for their continual guidance throughout the development, impleme</w:t>
      </w:r>
      <w:r w:rsidR="00994F39">
        <w:rPr>
          <w:sz w:val="22"/>
          <w:szCs w:val="22"/>
        </w:rPr>
        <w:t>ntation and evaluation of ALMA.</w:t>
      </w:r>
      <w:r w:rsidRPr="00A074DF">
        <w:rPr>
          <w:sz w:val="22"/>
          <w:szCs w:val="22"/>
        </w:rPr>
        <w:t xml:space="preserve"> We are also appreciative to Michelle Hayes, Nana Abreu, </w:t>
      </w:r>
      <w:r w:rsidRPr="00A074DF">
        <w:rPr>
          <w:sz w:val="22"/>
          <w:szCs w:val="22"/>
        </w:rPr>
        <w:lastRenderedPageBreak/>
        <w:t>and Rachel Page for their assistance with data entry and preliminary analyses. Finally, we extend our most sincere thanks to all of the ALMA participants for their time, energy and dedication and all who supported their participation.</w:t>
      </w:r>
    </w:p>
    <w:p w14:paraId="1E21F555" w14:textId="77777777" w:rsidR="00A074DF" w:rsidRDefault="00A074DF">
      <w:pPr>
        <w:rPr>
          <w:sz w:val="22"/>
          <w:szCs w:val="22"/>
        </w:rPr>
        <w:sectPr w:rsidR="00A074DF" w:rsidSect="00A074DF">
          <w:type w:val="continuous"/>
          <w:pgSz w:w="12240" w:h="15840"/>
          <w:pgMar w:top="1440" w:right="1440" w:bottom="1440" w:left="1440" w:header="720" w:footer="720" w:gutter="0"/>
          <w:cols w:num="2" w:space="720"/>
          <w:docGrid w:linePitch="360"/>
        </w:sectPr>
      </w:pPr>
    </w:p>
    <w:p w14:paraId="17CD8956" w14:textId="77777777" w:rsidR="00FB54C4" w:rsidRDefault="00FB54C4">
      <w:pPr>
        <w:rPr>
          <w:sz w:val="22"/>
          <w:szCs w:val="22"/>
        </w:rPr>
      </w:pPr>
    </w:p>
    <w:p w14:paraId="431A5859" w14:textId="77777777" w:rsidR="00994F39" w:rsidRDefault="00994F39">
      <w:pPr>
        <w:rPr>
          <w:sz w:val="22"/>
          <w:szCs w:val="22"/>
        </w:rPr>
      </w:pPr>
    </w:p>
    <w:p w14:paraId="64BC1955" w14:textId="77777777" w:rsidR="00994F39" w:rsidRPr="00994F39" w:rsidRDefault="00994F39" w:rsidP="00994F39">
      <w:pPr>
        <w:rPr>
          <w:b/>
          <w:noProof/>
          <w:sz w:val="22"/>
          <w:szCs w:val="22"/>
        </w:rPr>
      </w:pPr>
      <w:r w:rsidRPr="00994F39">
        <w:rPr>
          <w:b/>
          <w:noProof/>
          <w:sz w:val="22"/>
          <w:szCs w:val="22"/>
        </w:rPr>
        <w:t>References</w:t>
      </w:r>
    </w:p>
    <w:p w14:paraId="1F24CB44" w14:textId="77777777" w:rsidR="00994F39" w:rsidRPr="00994F39" w:rsidRDefault="00994F39" w:rsidP="00994F39">
      <w:pPr>
        <w:ind w:left="720" w:hanging="720"/>
        <w:rPr>
          <w:noProof/>
          <w:sz w:val="22"/>
          <w:szCs w:val="22"/>
        </w:rPr>
      </w:pPr>
      <w:bookmarkStart w:id="1" w:name="_ENREF_1"/>
      <w:r w:rsidRPr="00994F39">
        <w:rPr>
          <w:noProof/>
          <w:sz w:val="22"/>
          <w:szCs w:val="22"/>
        </w:rPr>
        <w:t xml:space="preserve">Altpeter, M., Earp, J. A., Bishop, C., &amp; Eng, E. (1999). Lay health advisor activity levels: definitions from the field. </w:t>
      </w:r>
      <w:r w:rsidRPr="00994F39">
        <w:rPr>
          <w:i/>
          <w:noProof/>
          <w:sz w:val="22"/>
          <w:szCs w:val="22"/>
        </w:rPr>
        <w:t>Health Education Behavior, 26</w:t>
      </w:r>
      <w:r w:rsidRPr="00994F39">
        <w:rPr>
          <w:noProof/>
          <w:sz w:val="22"/>
          <w:szCs w:val="22"/>
        </w:rPr>
        <w:t xml:space="preserve">(4), 495-512. </w:t>
      </w:r>
      <w:r w:rsidRPr="00994F39">
        <w:rPr>
          <w:noProof/>
          <w:sz w:val="22"/>
          <w:szCs w:val="22"/>
        </w:rPr>
        <w:tab/>
      </w:r>
      <w:bookmarkEnd w:id="1"/>
    </w:p>
    <w:p w14:paraId="6196AD11" w14:textId="77777777" w:rsidR="00994F39" w:rsidRPr="00994F39" w:rsidRDefault="00994F39" w:rsidP="00994F39">
      <w:pPr>
        <w:ind w:left="720" w:hanging="720"/>
        <w:rPr>
          <w:noProof/>
          <w:sz w:val="22"/>
          <w:szCs w:val="22"/>
        </w:rPr>
      </w:pPr>
      <w:bookmarkStart w:id="2" w:name="_ENREF_2"/>
      <w:r w:rsidRPr="00994F39">
        <w:rPr>
          <w:noProof/>
          <w:sz w:val="22"/>
          <w:szCs w:val="22"/>
        </w:rPr>
        <w:t xml:space="preserve">Aranda, M. P. C., I.; Lee P-J.; Sobel, E. (2001). Stress, social support, and coping as predictors of depressive symptoms: Gender differences among Mexican Americans. </w:t>
      </w:r>
      <w:r w:rsidRPr="00994F39">
        <w:rPr>
          <w:i/>
          <w:noProof/>
          <w:sz w:val="22"/>
          <w:szCs w:val="22"/>
        </w:rPr>
        <w:t>Social Work Research, 25</w:t>
      </w:r>
      <w:r w:rsidRPr="00994F39">
        <w:rPr>
          <w:noProof/>
          <w:sz w:val="22"/>
          <w:szCs w:val="22"/>
        </w:rPr>
        <w:t xml:space="preserve">, 37-48. </w:t>
      </w:r>
      <w:r w:rsidRPr="00994F39">
        <w:rPr>
          <w:noProof/>
          <w:sz w:val="22"/>
          <w:szCs w:val="22"/>
        </w:rPr>
        <w:tab/>
      </w:r>
      <w:bookmarkEnd w:id="2"/>
    </w:p>
    <w:p w14:paraId="6C7A5C4F" w14:textId="77777777" w:rsidR="00994F39" w:rsidRPr="00994F39" w:rsidRDefault="00994F39" w:rsidP="00994F39">
      <w:pPr>
        <w:ind w:left="720" w:hanging="720"/>
        <w:rPr>
          <w:noProof/>
          <w:sz w:val="22"/>
          <w:szCs w:val="22"/>
        </w:rPr>
      </w:pPr>
      <w:bookmarkStart w:id="3" w:name="_ENREF_3"/>
      <w:r w:rsidRPr="00994F39">
        <w:rPr>
          <w:noProof/>
          <w:sz w:val="22"/>
          <w:szCs w:val="22"/>
        </w:rPr>
        <w:t xml:space="preserve">Auger, S., &amp; Verbiest, S. (2007). Lay health educators' roles in improving patient education. </w:t>
      </w:r>
      <w:r w:rsidRPr="00994F39">
        <w:rPr>
          <w:i/>
          <w:noProof/>
          <w:sz w:val="22"/>
          <w:szCs w:val="22"/>
        </w:rPr>
        <w:t>North Carolina Medical Journal, 68</w:t>
      </w:r>
      <w:r w:rsidRPr="00994F39">
        <w:rPr>
          <w:noProof/>
          <w:sz w:val="22"/>
          <w:szCs w:val="22"/>
        </w:rPr>
        <w:t xml:space="preserve">(5), 333-335. </w:t>
      </w:r>
      <w:r w:rsidRPr="00994F39">
        <w:rPr>
          <w:noProof/>
          <w:sz w:val="22"/>
          <w:szCs w:val="22"/>
        </w:rPr>
        <w:tab/>
      </w:r>
      <w:bookmarkEnd w:id="3"/>
    </w:p>
    <w:p w14:paraId="2D343B8F" w14:textId="77777777" w:rsidR="00994F39" w:rsidRPr="00994F39" w:rsidRDefault="00994F39" w:rsidP="00994F39">
      <w:pPr>
        <w:ind w:left="720" w:hanging="720"/>
        <w:rPr>
          <w:noProof/>
          <w:sz w:val="22"/>
          <w:szCs w:val="22"/>
        </w:rPr>
      </w:pPr>
      <w:bookmarkStart w:id="4" w:name="_ENREF_4"/>
      <w:r w:rsidRPr="00994F39">
        <w:rPr>
          <w:noProof/>
          <w:sz w:val="22"/>
          <w:szCs w:val="22"/>
        </w:rPr>
        <w:t xml:space="preserve">Ayala, G. X., Vaz, L., Earp, J. A., Elder, J. P., &amp; Cherrington, A. (2010). Outcome effectiveness of the lay health advisor model among Latinos in the United States: an examination by role. </w:t>
      </w:r>
      <w:r w:rsidRPr="00994F39">
        <w:rPr>
          <w:i/>
          <w:noProof/>
          <w:sz w:val="22"/>
          <w:szCs w:val="22"/>
        </w:rPr>
        <w:t>Health Education Research, 25</w:t>
      </w:r>
      <w:r w:rsidRPr="00994F39">
        <w:rPr>
          <w:noProof/>
          <w:sz w:val="22"/>
          <w:szCs w:val="22"/>
        </w:rPr>
        <w:t xml:space="preserve">(5), 815-840. </w:t>
      </w:r>
      <w:r w:rsidRPr="00994F39">
        <w:rPr>
          <w:noProof/>
          <w:sz w:val="22"/>
          <w:szCs w:val="22"/>
        </w:rPr>
        <w:tab/>
      </w:r>
      <w:bookmarkEnd w:id="4"/>
    </w:p>
    <w:p w14:paraId="47DDB657" w14:textId="77777777" w:rsidR="00994F39" w:rsidRPr="00994F39" w:rsidRDefault="00994F39" w:rsidP="00994F39">
      <w:pPr>
        <w:ind w:left="720" w:hanging="720"/>
        <w:rPr>
          <w:noProof/>
          <w:sz w:val="22"/>
          <w:szCs w:val="22"/>
        </w:rPr>
      </w:pPr>
      <w:bookmarkStart w:id="5" w:name="_ENREF_5"/>
      <w:r w:rsidRPr="00994F39">
        <w:rPr>
          <w:noProof/>
          <w:sz w:val="22"/>
          <w:szCs w:val="22"/>
        </w:rPr>
        <w:t xml:space="preserve">Cabassa, L. J., &amp; Zayas, L. H. (2007). Latino immigrants' intentions to seek depression care. </w:t>
      </w:r>
      <w:r w:rsidRPr="00994F39">
        <w:rPr>
          <w:i/>
          <w:noProof/>
          <w:sz w:val="22"/>
          <w:szCs w:val="22"/>
        </w:rPr>
        <w:t>American Journal of Orthopsychiatry, 77</w:t>
      </w:r>
      <w:r w:rsidRPr="00994F39">
        <w:rPr>
          <w:noProof/>
          <w:sz w:val="22"/>
          <w:szCs w:val="22"/>
        </w:rPr>
        <w:t xml:space="preserve">(2), 231-242. </w:t>
      </w:r>
      <w:r w:rsidRPr="00994F39">
        <w:rPr>
          <w:noProof/>
          <w:sz w:val="22"/>
          <w:szCs w:val="22"/>
        </w:rPr>
        <w:tab/>
      </w:r>
      <w:bookmarkEnd w:id="5"/>
    </w:p>
    <w:p w14:paraId="1FA8F5D5" w14:textId="77777777" w:rsidR="00994F39" w:rsidRPr="00994F39" w:rsidRDefault="00994F39" w:rsidP="00994F39">
      <w:pPr>
        <w:ind w:left="720" w:hanging="720"/>
        <w:rPr>
          <w:noProof/>
          <w:sz w:val="22"/>
          <w:szCs w:val="22"/>
        </w:rPr>
      </w:pPr>
      <w:bookmarkStart w:id="6" w:name="_ENREF_6"/>
      <w:r w:rsidRPr="00994F39">
        <w:rPr>
          <w:noProof/>
          <w:sz w:val="22"/>
          <w:szCs w:val="22"/>
        </w:rPr>
        <w:t>California-Mexico Health Initiative. (2005). Historias de Ir y Venir: Manual Sobre Salud Mental para Promotores/as de Salud. Retrieved from http://www.ucop.edu/cprc.cmhi.html</w:t>
      </w:r>
      <w:r w:rsidRPr="00994F39">
        <w:rPr>
          <w:noProof/>
          <w:sz w:val="22"/>
          <w:szCs w:val="22"/>
        </w:rPr>
        <w:tab/>
      </w:r>
      <w:bookmarkEnd w:id="6"/>
    </w:p>
    <w:p w14:paraId="2FEBB822" w14:textId="77777777" w:rsidR="00994F39" w:rsidRPr="00994F39" w:rsidRDefault="00994F39" w:rsidP="00994F39">
      <w:pPr>
        <w:ind w:left="720" w:hanging="720"/>
        <w:rPr>
          <w:noProof/>
          <w:sz w:val="22"/>
          <w:szCs w:val="22"/>
        </w:rPr>
      </w:pPr>
      <w:bookmarkStart w:id="7" w:name="_ENREF_7"/>
      <w:r w:rsidRPr="00994F39">
        <w:rPr>
          <w:noProof/>
          <w:sz w:val="22"/>
          <w:szCs w:val="22"/>
        </w:rPr>
        <w:t xml:space="preserve">Cherrington, A., Ayala, G. X., Amick, H., Scarinci, I., Allison, J., &amp; Corbie-Smith, G. (2010). Applying the community health worker model to diabetes management: using mixed methods to assess implementation and effectiveness. </w:t>
      </w:r>
      <w:r w:rsidRPr="00994F39">
        <w:rPr>
          <w:i/>
          <w:noProof/>
          <w:sz w:val="22"/>
          <w:szCs w:val="22"/>
        </w:rPr>
        <w:t>Journal of Health Care for the Poor and Underserved, 19</w:t>
      </w:r>
      <w:r w:rsidRPr="00994F39">
        <w:rPr>
          <w:noProof/>
          <w:sz w:val="22"/>
          <w:szCs w:val="22"/>
        </w:rPr>
        <w:t xml:space="preserve">(4), 1044. </w:t>
      </w:r>
      <w:r w:rsidRPr="00994F39">
        <w:rPr>
          <w:noProof/>
          <w:sz w:val="22"/>
          <w:szCs w:val="22"/>
        </w:rPr>
        <w:tab/>
      </w:r>
      <w:bookmarkEnd w:id="7"/>
    </w:p>
    <w:p w14:paraId="0103BC55" w14:textId="77777777" w:rsidR="00994F39" w:rsidRPr="00994F39" w:rsidRDefault="00994F39" w:rsidP="00994F39">
      <w:pPr>
        <w:ind w:left="720" w:hanging="720"/>
        <w:rPr>
          <w:noProof/>
          <w:sz w:val="22"/>
          <w:szCs w:val="22"/>
        </w:rPr>
      </w:pPr>
      <w:bookmarkStart w:id="8" w:name="_ENREF_8"/>
      <w:r w:rsidRPr="00994F39">
        <w:rPr>
          <w:noProof/>
          <w:sz w:val="22"/>
          <w:szCs w:val="22"/>
        </w:rPr>
        <w:t xml:space="preserve">Corbie-Smith, G., Yaggy, S. D., Lyn, M., Green, M., Ornelas, I. J., Simmons, T., . . . Blumenthal, C. (2010). Development of an interinstitutional collaboration to support community-partnered research addressing the health of emerging Latino populations. </w:t>
      </w:r>
      <w:r w:rsidRPr="00994F39">
        <w:rPr>
          <w:i/>
          <w:noProof/>
          <w:sz w:val="22"/>
          <w:szCs w:val="22"/>
        </w:rPr>
        <w:t>Academic Medicine, 85</w:t>
      </w:r>
      <w:r w:rsidRPr="00994F39">
        <w:rPr>
          <w:noProof/>
          <w:sz w:val="22"/>
          <w:szCs w:val="22"/>
        </w:rPr>
        <w:t xml:space="preserve">(4), 728-735. </w:t>
      </w:r>
      <w:r w:rsidRPr="00994F39">
        <w:rPr>
          <w:noProof/>
          <w:sz w:val="22"/>
          <w:szCs w:val="22"/>
        </w:rPr>
        <w:tab/>
      </w:r>
      <w:bookmarkEnd w:id="8"/>
    </w:p>
    <w:p w14:paraId="075CC367" w14:textId="77777777" w:rsidR="00994F39" w:rsidRPr="00994F39" w:rsidRDefault="00994F39" w:rsidP="00994F39">
      <w:pPr>
        <w:ind w:left="720" w:hanging="720"/>
        <w:rPr>
          <w:noProof/>
          <w:sz w:val="22"/>
          <w:szCs w:val="22"/>
        </w:rPr>
      </w:pPr>
      <w:bookmarkStart w:id="9" w:name="_ENREF_9"/>
      <w:r w:rsidRPr="00994F39">
        <w:rPr>
          <w:noProof/>
          <w:sz w:val="22"/>
          <w:szCs w:val="22"/>
        </w:rPr>
        <w:t xml:space="preserve">Denman, S. (1999). Latino Access to Care Survey.  Report to the Duke Endowment. </w:t>
      </w:r>
      <w:r w:rsidRPr="00994F39">
        <w:rPr>
          <w:noProof/>
          <w:sz w:val="22"/>
          <w:szCs w:val="22"/>
        </w:rPr>
        <w:tab/>
      </w:r>
      <w:bookmarkEnd w:id="9"/>
    </w:p>
    <w:p w14:paraId="0CC0F494" w14:textId="77777777" w:rsidR="00994F39" w:rsidRPr="00994F39" w:rsidRDefault="00994F39" w:rsidP="00994F39">
      <w:pPr>
        <w:ind w:left="720" w:hanging="720"/>
        <w:rPr>
          <w:noProof/>
          <w:sz w:val="22"/>
          <w:szCs w:val="22"/>
        </w:rPr>
      </w:pPr>
      <w:bookmarkStart w:id="10" w:name="_ENREF_10"/>
      <w:r w:rsidRPr="00994F39">
        <w:rPr>
          <w:noProof/>
          <w:sz w:val="22"/>
          <w:szCs w:val="22"/>
        </w:rPr>
        <w:t xml:space="preserve">Derose, K. P., Escarce, J. J., &amp; Lurie, N. (2007). Immigrants And Health Care: Sources Of Vulnerability. </w:t>
      </w:r>
      <w:r w:rsidRPr="00994F39">
        <w:rPr>
          <w:i/>
          <w:noProof/>
          <w:sz w:val="22"/>
          <w:szCs w:val="22"/>
        </w:rPr>
        <w:t>Health Affairs, 26</w:t>
      </w:r>
      <w:r w:rsidRPr="00994F39">
        <w:rPr>
          <w:noProof/>
          <w:sz w:val="22"/>
          <w:szCs w:val="22"/>
        </w:rPr>
        <w:t xml:space="preserve">(5), 1258-1268. </w:t>
      </w:r>
      <w:r w:rsidRPr="00994F39">
        <w:rPr>
          <w:noProof/>
          <w:sz w:val="22"/>
          <w:szCs w:val="22"/>
        </w:rPr>
        <w:tab/>
      </w:r>
      <w:bookmarkEnd w:id="10"/>
    </w:p>
    <w:p w14:paraId="61738C8C" w14:textId="77777777" w:rsidR="00994F39" w:rsidRPr="00994F39" w:rsidRDefault="00994F39" w:rsidP="00994F39">
      <w:pPr>
        <w:ind w:left="720" w:hanging="720"/>
        <w:rPr>
          <w:noProof/>
          <w:sz w:val="22"/>
          <w:szCs w:val="22"/>
        </w:rPr>
      </w:pPr>
      <w:bookmarkStart w:id="11" w:name="_ENREF_11"/>
      <w:r w:rsidRPr="00994F39">
        <w:rPr>
          <w:noProof/>
          <w:sz w:val="22"/>
          <w:szCs w:val="22"/>
        </w:rPr>
        <w:t xml:space="preserve">Elder, J. P., Ayala, G. X., Slymen, D. J., Arredondo, E. M., &amp; Campbell, N. R. (2009). Evaluating Psychosocial and Behavioral Mechanisms of Change in a Tailored Communication Intervention. </w:t>
      </w:r>
      <w:r w:rsidRPr="00994F39">
        <w:rPr>
          <w:i/>
          <w:noProof/>
          <w:sz w:val="22"/>
          <w:szCs w:val="22"/>
        </w:rPr>
        <w:t>Health Education &amp; Behavior, 36</w:t>
      </w:r>
      <w:r w:rsidRPr="00994F39">
        <w:rPr>
          <w:noProof/>
          <w:sz w:val="22"/>
          <w:szCs w:val="22"/>
        </w:rPr>
        <w:t xml:space="preserve">(2), 366-380. </w:t>
      </w:r>
      <w:r w:rsidRPr="00994F39">
        <w:rPr>
          <w:noProof/>
          <w:sz w:val="22"/>
          <w:szCs w:val="22"/>
        </w:rPr>
        <w:tab/>
      </w:r>
      <w:bookmarkEnd w:id="11"/>
    </w:p>
    <w:p w14:paraId="28E3B096" w14:textId="77777777" w:rsidR="00994F39" w:rsidRPr="00994F39" w:rsidRDefault="00994F39" w:rsidP="00994F39">
      <w:pPr>
        <w:ind w:left="720" w:hanging="720"/>
        <w:rPr>
          <w:noProof/>
          <w:sz w:val="22"/>
          <w:szCs w:val="22"/>
        </w:rPr>
      </w:pPr>
      <w:bookmarkStart w:id="12" w:name="_ENREF_12"/>
      <w:r w:rsidRPr="00994F39">
        <w:rPr>
          <w:noProof/>
          <w:sz w:val="22"/>
          <w:szCs w:val="22"/>
        </w:rPr>
        <w:t xml:space="preserve">Eng, E. (1991). Networking Between Agencies and Black Churches:  The Health Advisor Model.  </w:t>
      </w:r>
      <w:r w:rsidRPr="00994F39">
        <w:rPr>
          <w:i/>
          <w:sz w:val="22"/>
          <w:szCs w:val="22"/>
        </w:rPr>
        <w:t>Prevention in Human Services</w:t>
      </w:r>
      <w:r w:rsidRPr="00994F39">
        <w:rPr>
          <w:noProof/>
          <w:sz w:val="22"/>
          <w:szCs w:val="22"/>
        </w:rPr>
        <w:t xml:space="preserve">, 10:23-46. </w:t>
      </w:r>
      <w:r w:rsidRPr="00994F39">
        <w:rPr>
          <w:noProof/>
          <w:sz w:val="22"/>
          <w:szCs w:val="22"/>
        </w:rPr>
        <w:tab/>
      </w:r>
      <w:bookmarkEnd w:id="12"/>
    </w:p>
    <w:p w14:paraId="41FA44DB" w14:textId="77777777" w:rsidR="00994F39" w:rsidRPr="00994F39" w:rsidRDefault="00994F39" w:rsidP="00994F39">
      <w:pPr>
        <w:ind w:left="720" w:hanging="720"/>
        <w:rPr>
          <w:noProof/>
          <w:sz w:val="22"/>
          <w:szCs w:val="22"/>
        </w:rPr>
      </w:pPr>
      <w:bookmarkStart w:id="13" w:name="_ENREF_13"/>
      <w:r w:rsidRPr="00994F39">
        <w:rPr>
          <w:noProof/>
          <w:sz w:val="22"/>
          <w:szCs w:val="22"/>
        </w:rPr>
        <w:t xml:space="preserve">Eng, E., &amp; Parker, E. (2002). Natural Helper Models. In R. J. DiClemente, R. A. Crosby &amp; M. Kegler (Eds.), </w:t>
      </w:r>
      <w:r w:rsidRPr="00994F39">
        <w:rPr>
          <w:i/>
          <w:noProof/>
          <w:sz w:val="22"/>
          <w:szCs w:val="22"/>
        </w:rPr>
        <w:t>Emerging Theories and Models in Health Promotion Research &amp; Practice</w:t>
      </w:r>
      <w:r w:rsidRPr="00994F39">
        <w:rPr>
          <w:noProof/>
          <w:sz w:val="22"/>
          <w:szCs w:val="22"/>
        </w:rPr>
        <w:t>. San Francisco: Jossey-Bass Publishers</w:t>
      </w:r>
      <w:bookmarkEnd w:id="13"/>
    </w:p>
    <w:p w14:paraId="393061A5" w14:textId="77777777" w:rsidR="00994F39" w:rsidRPr="00994F39" w:rsidRDefault="00994F39" w:rsidP="00994F39">
      <w:pPr>
        <w:ind w:left="720" w:hanging="720"/>
        <w:rPr>
          <w:noProof/>
          <w:sz w:val="22"/>
          <w:szCs w:val="22"/>
        </w:rPr>
      </w:pPr>
      <w:bookmarkStart w:id="14" w:name="_ENREF_14"/>
      <w:r w:rsidRPr="00994F39">
        <w:rPr>
          <w:noProof/>
          <w:sz w:val="22"/>
          <w:szCs w:val="22"/>
        </w:rPr>
        <w:t xml:space="preserve">Eng, E., Parker, E., &amp; Harlan, C. (1997). Lay health advisor intervention strategies: a continuum from natural helping to paraprofessional helping. </w:t>
      </w:r>
      <w:r w:rsidRPr="00994F39">
        <w:rPr>
          <w:i/>
          <w:noProof/>
          <w:sz w:val="22"/>
          <w:szCs w:val="22"/>
        </w:rPr>
        <w:t>Health Education &amp; Behavior, 24</w:t>
      </w:r>
      <w:r w:rsidRPr="00994F39">
        <w:rPr>
          <w:noProof/>
          <w:sz w:val="22"/>
          <w:szCs w:val="22"/>
        </w:rPr>
        <w:t xml:space="preserve">(4), 413-417. </w:t>
      </w:r>
      <w:r w:rsidRPr="00994F39">
        <w:rPr>
          <w:noProof/>
          <w:sz w:val="22"/>
          <w:szCs w:val="22"/>
        </w:rPr>
        <w:tab/>
      </w:r>
      <w:bookmarkEnd w:id="14"/>
    </w:p>
    <w:p w14:paraId="101ED9DA" w14:textId="77777777" w:rsidR="00994F39" w:rsidRPr="00994F39" w:rsidRDefault="00994F39" w:rsidP="00994F39">
      <w:pPr>
        <w:ind w:left="720" w:hanging="720"/>
        <w:rPr>
          <w:noProof/>
          <w:sz w:val="22"/>
          <w:szCs w:val="22"/>
        </w:rPr>
      </w:pPr>
      <w:bookmarkStart w:id="15" w:name="_ENREF_15"/>
      <w:r w:rsidRPr="00994F39">
        <w:rPr>
          <w:noProof/>
          <w:sz w:val="22"/>
          <w:szCs w:val="22"/>
        </w:rPr>
        <w:t xml:space="preserve">Eng, E., &amp; Young, R. (1992). Lay health advisors as community change agents. </w:t>
      </w:r>
      <w:r w:rsidRPr="00994F39">
        <w:rPr>
          <w:i/>
          <w:noProof/>
          <w:sz w:val="22"/>
          <w:szCs w:val="22"/>
        </w:rPr>
        <w:t>Family &amp; Community Health, 15</w:t>
      </w:r>
      <w:r w:rsidRPr="00994F39">
        <w:rPr>
          <w:noProof/>
          <w:sz w:val="22"/>
          <w:szCs w:val="22"/>
        </w:rPr>
        <w:t xml:space="preserve">(1), 24-40. </w:t>
      </w:r>
      <w:r w:rsidRPr="00994F39">
        <w:rPr>
          <w:noProof/>
          <w:sz w:val="22"/>
          <w:szCs w:val="22"/>
        </w:rPr>
        <w:tab/>
      </w:r>
      <w:bookmarkEnd w:id="15"/>
    </w:p>
    <w:p w14:paraId="0A982AAF" w14:textId="77777777" w:rsidR="00994F39" w:rsidRPr="00994F39" w:rsidRDefault="00994F39" w:rsidP="00994F39">
      <w:pPr>
        <w:ind w:left="720" w:hanging="720"/>
        <w:rPr>
          <w:noProof/>
          <w:sz w:val="22"/>
          <w:szCs w:val="22"/>
        </w:rPr>
      </w:pPr>
      <w:bookmarkStart w:id="16" w:name="_ENREF_16"/>
      <w:r w:rsidRPr="00994F39">
        <w:rPr>
          <w:noProof/>
          <w:sz w:val="22"/>
          <w:szCs w:val="22"/>
        </w:rPr>
        <w:t xml:space="preserve">Finch, B. K., &amp; Vega, W. A. (2003). Acculturation Stress, Social Support, and Self-Rated Health Among Latinos in California. </w:t>
      </w:r>
      <w:r w:rsidRPr="00994F39">
        <w:rPr>
          <w:i/>
          <w:noProof/>
          <w:sz w:val="22"/>
          <w:szCs w:val="22"/>
        </w:rPr>
        <w:t>Journal of Immigrant Health, 5</w:t>
      </w:r>
      <w:r w:rsidRPr="00994F39">
        <w:rPr>
          <w:noProof/>
          <w:sz w:val="22"/>
          <w:szCs w:val="22"/>
        </w:rPr>
        <w:t xml:space="preserve">(3), 109-117. </w:t>
      </w:r>
      <w:r w:rsidRPr="00994F39">
        <w:rPr>
          <w:noProof/>
          <w:sz w:val="22"/>
          <w:szCs w:val="22"/>
        </w:rPr>
        <w:tab/>
      </w:r>
      <w:bookmarkEnd w:id="16"/>
    </w:p>
    <w:p w14:paraId="0AAA2EAE" w14:textId="77777777" w:rsidR="00994F39" w:rsidRPr="00994F39" w:rsidRDefault="00994F39" w:rsidP="00994F39">
      <w:pPr>
        <w:ind w:left="720" w:hanging="720"/>
        <w:rPr>
          <w:noProof/>
          <w:sz w:val="22"/>
          <w:szCs w:val="22"/>
        </w:rPr>
      </w:pPr>
      <w:bookmarkStart w:id="17" w:name="_ENREF_17"/>
      <w:r w:rsidRPr="00994F39">
        <w:rPr>
          <w:noProof/>
          <w:sz w:val="22"/>
          <w:szCs w:val="22"/>
        </w:rPr>
        <w:t>Fry, R. (2008). Latino Settlement in the New Century. Washington, DC: PEW Hispanic Center</w:t>
      </w:r>
      <w:bookmarkEnd w:id="17"/>
    </w:p>
    <w:p w14:paraId="3DCD780B" w14:textId="77777777" w:rsidR="00994F39" w:rsidRPr="00994F39" w:rsidRDefault="00994F39" w:rsidP="00994F39">
      <w:pPr>
        <w:ind w:left="720" w:hanging="720"/>
        <w:rPr>
          <w:noProof/>
          <w:sz w:val="22"/>
          <w:szCs w:val="22"/>
        </w:rPr>
      </w:pPr>
      <w:bookmarkStart w:id="18" w:name="_ENREF_18"/>
      <w:r w:rsidRPr="00994F39">
        <w:rPr>
          <w:noProof/>
          <w:sz w:val="22"/>
          <w:szCs w:val="22"/>
        </w:rPr>
        <w:lastRenderedPageBreak/>
        <w:t xml:space="preserve">Garrison, E. G., Roy, I. S., &amp; Azar, V. (1999). Responding to the mental health needs of latino children and families through school-based services. </w:t>
      </w:r>
      <w:r w:rsidRPr="00994F39">
        <w:rPr>
          <w:i/>
          <w:noProof/>
          <w:sz w:val="22"/>
          <w:szCs w:val="22"/>
        </w:rPr>
        <w:t>Clinical Psychology Review, 19</w:t>
      </w:r>
      <w:r w:rsidRPr="00994F39">
        <w:rPr>
          <w:noProof/>
          <w:sz w:val="22"/>
          <w:szCs w:val="22"/>
        </w:rPr>
        <w:t xml:space="preserve">(2), 199-219. </w:t>
      </w:r>
      <w:r w:rsidRPr="00994F39">
        <w:rPr>
          <w:noProof/>
          <w:sz w:val="22"/>
          <w:szCs w:val="22"/>
        </w:rPr>
        <w:tab/>
      </w:r>
      <w:bookmarkEnd w:id="18"/>
    </w:p>
    <w:p w14:paraId="0E8305A2" w14:textId="77777777" w:rsidR="00994F39" w:rsidRPr="00994F39" w:rsidRDefault="00994F39" w:rsidP="00994F39">
      <w:pPr>
        <w:ind w:left="720" w:hanging="720"/>
        <w:rPr>
          <w:noProof/>
          <w:sz w:val="22"/>
          <w:szCs w:val="22"/>
        </w:rPr>
      </w:pPr>
      <w:bookmarkStart w:id="19" w:name="_ENREF_19"/>
      <w:r w:rsidRPr="00994F39">
        <w:rPr>
          <w:noProof/>
          <w:sz w:val="22"/>
          <w:szCs w:val="22"/>
        </w:rPr>
        <w:t xml:space="preserve">Griner, D., &amp; Smith, T. (2006). Culturally adapted mental health interventions: A meta-analytic review. </w:t>
      </w:r>
      <w:r w:rsidRPr="00994F39">
        <w:rPr>
          <w:i/>
          <w:noProof/>
          <w:sz w:val="22"/>
          <w:szCs w:val="22"/>
        </w:rPr>
        <w:t>Psychotherapy: Theory, Research, Practice, Training, 43</w:t>
      </w:r>
      <w:r w:rsidRPr="00994F39">
        <w:rPr>
          <w:noProof/>
          <w:sz w:val="22"/>
          <w:szCs w:val="22"/>
        </w:rPr>
        <w:t xml:space="preserve">(4), 531-548. </w:t>
      </w:r>
      <w:r w:rsidRPr="00994F39">
        <w:rPr>
          <w:noProof/>
          <w:sz w:val="22"/>
          <w:szCs w:val="22"/>
        </w:rPr>
        <w:tab/>
      </w:r>
      <w:bookmarkEnd w:id="19"/>
    </w:p>
    <w:p w14:paraId="537BBDD7" w14:textId="77777777" w:rsidR="00994F39" w:rsidRPr="00994F39" w:rsidRDefault="00994F39" w:rsidP="00994F39">
      <w:pPr>
        <w:ind w:left="720" w:hanging="720"/>
        <w:rPr>
          <w:noProof/>
          <w:sz w:val="22"/>
          <w:szCs w:val="22"/>
        </w:rPr>
      </w:pPr>
      <w:bookmarkStart w:id="20" w:name="_ENREF_20"/>
      <w:r w:rsidRPr="00994F39">
        <w:rPr>
          <w:noProof/>
          <w:sz w:val="22"/>
          <w:szCs w:val="22"/>
        </w:rPr>
        <w:t xml:space="preserve">Jorm, A., &amp; Griffiths, K. (2006). Population promotion of informal self-help strategies for early intervention against depression and anxiety. </w:t>
      </w:r>
      <w:r w:rsidRPr="00994F39">
        <w:rPr>
          <w:i/>
          <w:noProof/>
          <w:sz w:val="22"/>
          <w:szCs w:val="22"/>
        </w:rPr>
        <w:t>Psychological Medicine, 36</w:t>
      </w:r>
      <w:r w:rsidRPr="00994F39">
        <w:rPr>
          <w:noProof/>
          <w:sz w:val="22"/>
          <w:szCs w:val="22"/>
        </w:rPr>
        <w:t xml:space="preserve">(01), 3-6. </w:t>
      </w:r>
      <w:r w:rsidRPr="00994F39">
        <w:rPr>
          <w:noProof/>
          <w:sz w:val="22"/>
          <w:szCs w:val="22"/>
        </w:rPr>
        <w:tab/>
      </w:r>
      <w:bookmarkEnd w:id="20"/>
    </w:p>
    <w:p w14:paraId="4D2EBE77" w14:textId="77777777" w:rsidR="00994F39" w:rsidRPr="00994F39" w:rsidRDefault="00994F39" w:rsidP="00994F39">
      <w:pPr>
        <w:ind w:left="720" w:hanging="720"/>
        <w:rPr>
          <w:noProof/>
          <w:sz w:val="22"/>
          <w:szCs w:val="22"/>
        </w:rPr>
      </w:pPr>
      <w:bookmarkStart w:id="21" w:name="_ENREF_21"/>
      <w:r w:rsidRPr="00994F39">
        <w:rPr>
          <w:noProof/>
          <w:sz w:val="22"/>
          <w:szCs w:val="22"/>
        </w:rPr>
        <w:t xml:space="preserve">Jorm, A., Griffiths, K., Christensen, H., Parslow, R., &amp; Rogers, B. (2004). Actions taken to cope with depression at different levels of severity: a community survey. </w:t>
      </w:r>
      <w:r w:rsidRPr="00994F39">
        <w:rPr>
          <w:i/>
          <w:noProof/>
          <w:sz w:val="22"/>
          <w:szCs w:val="22"/>
        </w:rPr>
        <w:t>Psychological Medicine, 34</w:t>
      </w:r>
      <w:r w:rsidRPr="00994F39">
        <w:rPr>
          <w:noProof/>
          <w:sz w:val="22"/>
          <w:szCs w:val="22"/>
        </w:rPr>
        <w:t xml:space="preserve">(2), 293-299. </w:t>
      </w:r>
      <w:r w:rsidRPr="00994F39">
        <w:rPr>
          <w:noProof/>
          <w:sz w:val="22"/>
          <w:szCs w:val="22"/>
        </w:rPr>
        <w:tab/>
      </w:r>
      <w:bookmarkEnd w:id="21"/>
    </w:p>
    <w:p w14:paraId="154DC183" w14:textId="77777777" w:rsidR="00994F39" w:rsidRPr="00994F39" w:rsidRDefault="00994F39" w:rsidP="00994F39">
      <w:pPr>
        <w:ind w:left="720" w:hanging="720"/>
        <w:rPr>
          <w:noProof/>
          <w:sz w:val="22"/>
          <w:szCs w:val="22"/>
        </w:rPr>
      </w:pPr>
      <w:bookmarkStart w:id="22" w:name="_ENREF_22"/>
      <w:r w:rsidRPr="00994F39">
        <w:rPr>
          <w:noProof/>
          <w:sz w:val="22"/>
          <w:szCs w:val="22"/>
        </w:rPr>
        <w:t xml:space="preserve">Kaphingst, K., Lachance, C., Gepp, A., Hoyt D’Anna, L., &amp; Rios-Ellis, B. (2011). Educating underserved Latino communities about family health history using lay health advisors. </w:t>
      </w:r>
      <w:r w:rsidRPr="00994F39">
        <w:rPr>
          <w:i/>
          <w:noProof/>
          <w:sz w:val="22"/>
          <w:szCs w:val="22"/>
        </w:rPr>
        <w:t>Public Health Genomics, 14</w:t>
      </w:r>
      <w:r w:rsidRPr="00994F39">
        <w:rPr>
          <w:noProof/>
          <w:sz w:val="22"/>
          <w:szCs w:val="22"/>
        </w:rPr>
        <w:t xml:space="preserve">(4-5), 211-221. </w:t>
      </w:r>
      <w:r w:rsidRPr="00994F39">
        <w:rPr>
          <w:noProof/>
          <w:sz w:val="22"/>
          <w:szCs w:val="22"/>
        </w:rPr>
        <w:tab/>
      </w:r>
      <w:bookmarkEnd w:id="22"/>
    </w:p>
    <w:p w14:paraId="63056FBE" w14:textId="77777777" w:rsidR="00994F39" w:rsidRPr="00994F39" w:rsidRDefault="00994F39" w:rsidP="00994F39">
      <w:pPr>
        <w:ind w:left="720" w:hanging="720"/>
        <w:rPr>
          <w:noProof/>
          <w:sz w:val="22"/>
          <w:szCs w:val="22"/>
        </w:rPr>
      </w:pPr>
      <w:bookmarkStart w:id="23" w:name="_ENREF_23"/>
      <w:r w:rsidRPr="00994F39">
        <w:rPr>
          <w:noProof/>
          <w:sz w:val="22"/>
          <w:szCs w:val="22"/>
        </w:rPr>
        <w:t xml:space="preserve">Lewis, L. H., &amp; Williams, C. J. (1994). Experiential learning: Past and present. </w:t>
      </w:r>
      <w:r w:rsidRPr="00994F39">
        <w:rPr>
          <w:i/>
          <w:noProof/>
          <w:sz w:val="22"/>
          <w:szCs w:val="22"/>
        </w:rPr>
        <w:t>New Directions for Adult and Continuing Education, 1994</w:t>
      </w:r>
      <w:r w:rsidRPr="00994F39">
        <w:rPr>
          <w:noProof/>
          <w:sz w:val="22"/>
          <w:szCs w:val="22"/>
        </w:rPr>
        <w:t xml:space="preserve">(62), 5-16. </w:t>
      </w:r>
      <w:r w:rsidRPr="00994F39">
        <w:rPr>
          <w:noProof/>
          <w:sz w:val="22"/>
          <w:szCs w:val="22"/>
        </w:rPr>
        <w:tab/>
      </w:r>
      <w:bookmarkEnd w:id="23"/>
    </w:p>
    <w:p w14:paraId="629CABDB" w14:textId="77777777" w:rsidR="00994F39" w:rsidRPr="00994F39" w:rsidRDefault="00994F39" w:rsidP="00994F39">
      <w:pPr>
        <w:ind w:left="720" w:hanging="720"/>
        <w:rPr>
          <w:noProof/>
          <w:sz w:val="22"/>
          <w:szCs w:val="22"/>
        </w:rPr>
      </w:pPr>
      <w:bookmarkStart w:id="24" w:name="_ENREF_24"/>
      <w:r w:rsidRPr="00994F39">
        <w:rPr>
          <w:noProof/>
          <w:sz w:val="22"/>
          <w:szCs w:val="22"/>
        </w:rPr>
        <w:t xml:space="preserve">Louden, J. (1992). </w:t>
      </w:r>
      <w:r w:rsidRPr="00994F39">
        <w:rPr>
          <w:i/>
          <w:noProof/>
          <w:sz w:val="22"/>
          <w:szCs w:val="22"/>
        </w:rPr>
        <w:t>The woman's comfort book : A self-nurturing guide for restoring balance in your life</w:t>
      </w:r>
      <w:r w:rsidRPr="00994F39">
        <w:rPr>
          <w:noProof/>
          <w:sz w:val="22"/>
          <w:szCs w:val="22"/>
        </w:rPr>
        <w:t xml:space="preserve"> (1st ed.). San Francisco, Calif.: HarperSanFrancisco</w:t>
      </w:r>
      <w:bookmarkEnd w:id="24"/>
    </w:p>
    <w:p w14:paraId="2F79D69D" w14:textId="77777777" w:rsidR="00994F39" w:rsidRPr="00994F39" w:rsidRDefault="00994F39" w:rsidP="00994F39">
      <w:pPr>
        <w:ind w:left="720" w:hanging="720"/>
        <w:rPr>
          <w:noProof/>
          <w:sz w:val="22"/>
          <w:szCs w:val="22"/>
        </w:rPr>
      </w:pPr>
      <w:bookmarkStart w:id="25" w:name="_ENREF_25"/>
      <w:r w:rsidRPr="00994F39">
        <w:rPr>
          <w:noProof/>
          <w:sz w:val="22"/>
          <w:szCs w:val="22"/>
        </w:rPr>
        <w:t xml:space="preserve">Martínez-Donate, A. P. (2009). Using lay health advisors to promote breast and cervical cancer screening among Latinas: a review. </w:t>
      </w:r>
      <w:r w:rsidRPr="00994F39">
        <w:rPr>
          <w:i/>
          <w:noProof/>
          <w:sz w:val="22"/>
          <w:szCs w:val="22"/>
        </w:rPr>
        <w:t>Wisconsin Medical Journal, 108</w:t>
      </w:r>
      <w:r w:rsidRPr="00994F39">
        <w:rPr>
          <w:noProof/>
          <w:sz w:val="22"/>
          <w:szCs w:val="22"/>
        </w:rPr>
        <w:t xml:space="preserve">(5), 259-262. </w:t>
      </w:r>
      <w:r w:rsidRPr="00994F39">
        <w:rPr>
          <w:noProof/>
          <w:sz w:val="22"/>
          <w:szCs w:val="22"/>
        </w:rPr>
        <w:tab/>
      </w:r>
      <w:bookmarkEnd w:id="25"/>
    </w:p>
    <w:p w14:paraId="702B07A5" w14:textId="77777777" w:rsidR="00994F39" w:rsidRPr="00994F39" w:rsidRDefault="00994F39" w:rsidP="00994F39">
      <w:pPr>
        <w:ind w:left="720" w:hanging="720"/>
        <w:rPr>
          <w:noProof/>
          <w:sz w:val="22"/>
          <w:szCs w:val="22"/>
        </w:rPr>
      </w:pPr>
      <w:bookmarkStart w:id="26" w:name="_ENREF_26"/>
      <w:r w:rsidRPr="00994F39">
        <w:rPr>
          <w:noProof/>
          <w:sz w:val="22"/>
          <w:szCs w:val="22"/>
        </w:rPr>
        <w:t xml:space="preserve">McMiller, W. P., &amp; Weisz, J. R. (1996). Help-Seeking Preceding Mental Health Clinic Intake among African-American, Latino, and Caucasian Youths. </w:t>
      </w:r>
      <w:r w:rsidRPr="00994F39">
        <w:rPr>
          <w:i/>
          <w:noProof/>
          <w:sz w:val="22"/>
          <w:szCs w:val="22"/>
        </w:rPr>
        <w:t>Journal of the American Academy of Child &amp; Adolescent Psychiatry, 35</w:t>
      </w:r>
      <w:r w:rsidRPr="00994F39">
        <w:rPr>
          <w:noProof/>
          <w:sz w:val="22"/>
          <w:szCs w:val="22"/>
        </w:rPr>
        <w:t xml:space="preserve">(8), 1086-1094. </w:t>
      </w:r>
      <w:r w:rsidRPr="00994F39">
        <w:rPr>
          <w:noProof/>
          <w:sz w:val="22"/>
          <w:szCs w:val="22"/>
        </w:rPr>
        <w:tab/>
      </w:r>
      <w:bookmarkEnd w:id="26"/>
    </w:p>
    <w:p w14:paraId="3DD13123" w14:textId="77777777" w:rsidR="00994F39" w:rsidRPr="00994F39" w:rsidRDefault="00994F39" w:rsidP="00994F39">
      <w:pPr>
        <w:ind w:left="720" w:hanging="720"/>
        <w:rPr>
          <w:noProof/>
          <w:sz w:val="22"/>
          <w:szCs w:val="22"/>
        </w:rPr>
      </w:pPr>
      <w:bookmarkStart w:id="27" w:name="_ENREF_27"/>
      <w:r w:rsidRPr="00994F39">
        <w:rPr>
          <w:noProof/>
          <w:sz w:val="22"/>
          <w:szCs w:val="22"/>
        </w:rPr>
        <w:t xml:space="preserve">McQuiston, C., Choi-Hevel, S., &amp; Clawson, M. (2001). Protegiendo nuestra comunidad: Empowerment participatory education for HIV prevention. </w:t>
      </w:r>
      <w:r w:rsidRPr="00994F39">
        <w:rPr>
          <w:i/>
          <w:noProof/>
          <w:sz w:val="22"/>
          <w:szCs w:val="22"/>
        </w:rPr>
        <w:t>Journal of Transcultural Nursing, 12</w:t>
      </w:r>
      <w:r w:rsidRPr="00994F39">
        <w:rPr>
          <w:noProof/>
          <w:sz w:val="22"/>
          <w:szCs w:val="22"/>
        </w:rPr>
        <w:t xml:space="preserve">(4), 275-283. </w:t>
      </w:r>
      <w:r w:rsidRPr="00994F39">
        <w:rPr>
          <w:noProof/>
          <w:sz w:val="22"/>
          <w:szCs w:val="22"/>
        </w:rPr>
        <w:tab/>
      </w:r>
      <w:bookmarkEnd w:id="27"/>
    </w:p>
    <w:p w14:paraId="1D56F0A5" w14:textId="77777777" w:rsidR="00994F39" w:rsidRPr="00994F39" w:rsidRDefault="00994F39" w:rsidP="00994F39">
      <w:pPr>
        <w:ind w:left="720" w:hanging="720"/>
        <w:rPr>
          <w:noProof/>
          <w:sz w:val="22"/>
          <w:szCs w:val="22"/>
        </w:rPr>
      </w:pPr>
      <w:bookmarkStart w:id="28" w:name="_ENREF_28"/>
      <w:r w:rsidRPr="00994F39">
        <w:rPr>
          <w:noProof/>
          <w:sz w:val="22"/>
          <w:szCs w:val="22"/>
        </w:rPr>
        <w:t xml:space="preserve">Mezzich, J. E., Ruiz, P., &amp; Munoz, R. A. (1999). Mental health care for Hispanic Americans: a current perspective. </w:t>
      </w:r>
      <w:r w:rsidRPr="00994F39">
        <w:rPr>
          <w:i/>
          <w:noProof/>
          <w:sz w:val="22"/>
          <w:szCs w:val="22"/>
        </w:rPr>
        <w:t>Cultural Diversity and Ethnic Minority Psychology, 5</w:t>
      </w:r>
      <w:r w:rsidRPr="00994F39">
        <w:rPr>
          <w:noProof/>
          <w:sz w:val="22"/>
          <w:szCs w:val="22"/>
        </w:rPr>
        <w:t xml:space="preserve">(2), 91-102. </w:t>
      </w:r>
      <w:r w:rsidRPr="00994F39">
        <w:rPr>
          <w:noProof/>
          <w:sz w:val="22"/>
          <w:szCs w:val="22"/>
        </w:rPr>
        <w:tab/>
      </w:r>
      <w:bookmarkEnd w:id="28"/>
    </w:p>
    <w:p w14:paraId="2B5AB71E" w14:textId="77777777" w:rsidR="00994F39" w:rsidRPr="00994F39" w:rsidRDefault="00994F39" w:rsidP="00994F39">
      <w:pPr>
        <w:ind w:left="720" w:hanging="720"/>
        <w:rPr>
          <w:noProof/>
          <w:sz w:val="22"/>
          <w:szCs w:val="22"/>
        </w:rPr>
      </w:pPr>
      <w:bookmarkStart w:id="29" w:name="_ENREF_29"/>
      <w:r w:rsidRPr="00994F39">
        <w:rPr>
          <w:noProof/>
          <w:sz w:val="22"/>
          <w:szCs w:val="22"/>
        </w:rPr>
        <w:t xml:space="preserve">North Carolina Institue of Medicine. (2003). </w:t>
      </w:r>
      <w:r w:rsidRPr="00994F39">
        <w:rPr>
          <w:i/>
          <w:noProof/>
          <w:sz w:val="22"/>
          <w:szCs w:val="22"/>
        </w:rPr>
        <w:t>NC Latino Health, 2003.</w:t>
      </w:r>
      <w:r w:rsidRPr="00994F39">
        <w:rPr>
          <w:noProof/>
          <w:sz w:val="22"/>
          <w:szCs w:val="22"/>
        </w:rPr>
        <w:t xml:space="preserve"> North Carolina Institue of Medicine, Durham, NC. Retrieved from http://www.learnnc.org/lp/pdf/latino-immigration-p6182.pdf  </w:t>
      </w:r>
      <w:r w:rsidRPr="00994F39">
        <w:rPr>
          <w:noProof/>
          <w:sz w:val="22"/>
          <w:szCs w:val="22"/>
        </w:rPr>
        <w:tab/>
      </w:r>
      <w:bookmarkEnd w:id="29"/>
    </w:p>
    <w:p w14:paraId="522FD72F" w14:textId="77777777" w:rsidR="00994F39" w:rsidRPr="00994F39" w:rsidRDefault="00994F39" w:rsidP="00994F39">
      <w:pPr>
        <w:ind w:left="720" w:hanging="720"/>
        <w:rPr>
          <w:noProof/>
          <w:sz w:val="22"/>
          <w:szCs w:val="22"/>
        </w:rPr>
      </w:pPr>
      <w:bookmarkStart w:id="30" w:name="_ENREF_30"/>
      <w:r w:rsidRPr="00994F39">
        <w:rPr>
          <w:noProof/>
          <w:sz w:val="22"/>
          <w:szCs w:val="22"/>
        </w:rPr>
        <w:t xml:space="preserve">Rhodes, S. D., Foley, K. L., Zometa, C. S., &amp; Bloom, F. R. (2007). Lay health advisor interventions among Hispanics/Latinos: a qualitative systematic review. </w:t>
      </w:r>
      <w:r w:rsidRPr="00994F39">
        <w:rPr>
          <w:i/>
          <w:noProof/>
          <w:sz w:val="22"/>
          <w:szCs w:val="22"/>
        </w:rPr>
        <w:t>American Journal of Preventive Medicine, 33</w:t>
      </w:r>
      <w:r w:rsidRPr="00994F39">
        <w:rPr>
          <w:noProof/>
          <w:sz w:val="22"/>
          <w:szCs w:val="22"/>
        </w:rPr>
        <w:t xml:space="preserve">(5), 418-427. </w:t>
      </w:r>
      <w:r w:rsidRPr="00994F39">
        <w:rPr>
          <w:noProof/>
          <w:sz w:val="22"/>
          <w:szCs w:val="22"/>
        </w:rPr>
        <w:tab/>
      </w:r>
      <w:bookmarkEnd w:id="30"/>
    </w:p>
    <w:p w14:paraId="105F0563" w14:textId="77777777" w:rsidR="00994F39" w:rsidRPr="00994F39" w:rsidRDefault="00994F39" w:rsidP="00994F39">
      <w:pPr>
        <w:ind w:left="720" w:hanging="720"/>
        <w:rPr>
          <w:noProof/>
          <w:sz w:val="22"/>
          <w:szCs w:val="22"/>
        </w:rPr>
      </w:pPr>
      <w:bookmarkStart w:id="31" w:name="_ENREF_31"/>
      <w:r w:rsidRPr="00994F39">
        <w:rPr>
          <w:noProof/>
          <w:sz w:val="22"/>
          <w:szCs w:val="22"/>
        </w:rPr>
        <w:t xml:space="preserve">Rhodes, S. D., Hergenrather, K. C., Montaño, J., Remnitz, I. M., Arceo, R., Bloom, F. R., . . . Bowden, W. P. (2006). Using community-based participatory research to develop an intervention to reduce HIV and STD infections among Latino men. </w:t>
      </w:r>
      <w:r w:rsidRPr="00994F39">
        <w:rPr>
          <w:i/>
          <w:noProof/>
          <w:sz w:val="22"/>
          <w:szCs w:val="22"/>
        </w:rPr>
        <w:t>AIDS Education &amp; Prevention, 18</w:t>
      </w:r>
      <w:r w:rsidRPr="00994F39">
        <w:rPr>
          <w:noProof/>
          <w:sz w:val="22"/>
          <w:szCs w:val="22"/>
        </w:rPr>
        <w:t xml:space="preserve">(5), 375-389. </w:t>
      </w:r>
      <w:r w:rsidRPr="00994F39">
        <w:rPr>
          <w:noProof/>
          <w:sz w:val="22"/>
          <w:szCs w:val="22"/>
        </w:rPr>
        <w:tab/>
      </w:r>
      <w:bookmarkEnd w:id="31"/>
    </w:p>
    <w:p w14:paraId="285E5C3E" w14:textId="77777777" w:rsidR="00994F39" w:rsidRPr="00994F39" w:rsidRDefault="00994F39" w:rsidP="00994F39">
      <w:pPr>
        <w:ind w:left="720" w:hanging="720"/>
        <w:rPr>
          <w:noProof/>
          <w:sz w:val="22"/>
          <w:szCs w:val="22"/>
        </w:rPr>
      </w:pPr>
      <w:bookmarkStart w:id="32" w:name="_ENREF_32"/>
      <w:r w:rsidRPr="00994F39">
        <w:rPr>
          <w:noProof/>
          <w:sz w:val="22"/>
          <w:szCs w:val="22"/>
        </w:rPr>
        <w:t>Rhodes, S. D., Hergenrather, K. C., Wilkin, A., Alegria-Ortega, J., &amp; Montano, J. (2006). Preventing HIV infection among young immigrant Latino men: results from focus groups using community-based participatory research</w:t>
      </w:r>
      <w:r w:rsidRPr="00994F39">
        <w:rPr>
          <w:i/>
          <w:noProof/>
          <w:sz w:val="22"/>
          <w:szCs w:val="22"/>
        </w:rPr>
        <w:t>. Journal of National Medical Association, 98</w:t>
      </w:r>
      <w:r w:rsidRPr="00994F39">
        <w:rPr>
          <w:noProof/>
          <w:sz w:val="22"/>
          <w:szCs w:val="22"/>
        </w:rPr>
        <w:t xml:space="preserve">(4), 564-573. </w:t>
      </w:r>
      <w:r w:rsidRPr="00994F39">
        <w:rPr>
          <w:noProof/>
          <w:sz w:val="22"/>
          <w:szCs w:val="22"/>
        </w:rPr>
        <w:tab/>
      </w:r>
      <w:bookmarkEnd w:id="32"/>
    </w:p>
    <w:p w14:paraId="47056F9E" w14:textId="77777777" w:rsidR="00994F39" w:rsidRPr="00994F39" w:rsidRDefault="00994F39" w:rsidP="00994F39">
      <w:pPr>
        <w:ind w:left="720" w:hanging="720"/>
        <w:rPr>
          <w:noProof/>
          <w:sz w:val="22"/>
          <w:szCs w:val="22"/>
        </w:rPr>
      </w:pPr>
      <w:bookmarkStart w:id="33" w:name="_ENREF_33"/>
      <w:r w:rsidRPr="00994F39">
        <w:rPr>
          <w:noProof/>
          <w:sz w:val="22"/>
          <w:szCs w:val="22"/>
        </w:rPr>
        <w:t xml:space="preserve">Rüdell, K., Bhui, K., &amp; Priebe, S. (2008). Do 'alternative' help-seeking strategies affect primary care service use? A survey of help-seeking for mental distress. </w:t>
      </w:r>
      <w:r w:rsidRPr="00994F39">
        <w:rPr>
          <w:i/>
          <w:noProof/>
          <w:sz w:val="22"/>
          <w:szCs w:val="22"/>
        </w:rPr>
        <w:t>BioMed Central Public Health, 8</w:t>
      </w:r>
      <w:r w:rsidRPr="00994F39">
        <w:rPr>
          <w:noProof/>
          <w:sz w:val="22"/>
          <w:szCs w:val="22"/>
        </w:rPr>
        <w:t xml:space="preserve">(1), 207. </w:t>
      </w:r>
      <w:r w:rsidRPr="00994F39">
        <w:rPr>
          <w:noProof/>
          <w:sz w:val="22"/>
          <w:szCs w:val="22"/>
        </w:rPr>
        <w:tab/>
      </w:r>
      <w:bookmarkEnd w:id="33"/>
    </w:p>
    <w:p w14:paraId="3697E9F9" w14:textId="77777777" w:rsidR="00994F39" w:rsidRPr="00994F39" w:rsidRDefault="00994F39" w:rsidP="00994F39">
      <w:pPr>
        <w:ind w:left="720" w:hanging="720"/>
        <w:rPr>
          <w:noProof/>
          <w:sz w:val="22"/>
          <w:szCs w:val="22"/>
        </w:rPr>
      </w:pPr>
      <w:bookmarkStart w:id="34" w:name="_ENREF_34"/>
      <w:r w:rsidRPr="00994F39">
        <w:rPr>
          <w:noProof/>
          <w:sz w:val="22"/>
          <w:szCs w:val="22"/>
        </w:rPr>
        <w:t xml:space="preserve">Rummel, C. B., Hansen, W. P., Helbig, A., Pitschel-Walz, G., &amp; Kissling, W. (2005). Peer-to-peer psychoeducation in schizophrenia: a new approach. </w:t>
      </w:r>
      <w:r w:rsidRPr="00994F39">
        <w:rPr>
          <w:i/>
          <w:noProof/>
          <w:sz w:val="22"/>
          <w:szCs w:val="22"/>
        </w:rPr>
        <w:t>Journal of Clinical Psychiatry, 66</w:t>
      </w:r>
      <w:r w:rsidRPr="00994F39">
        <w:rPr>
          <w:noProof/>
          <w:sz w:val="22"/>
          <w:szCs w:val="22"/>
        </w:rPr>
        <w:t xml:space="preserve">(12), 1580-1585. </w:t>
      </w:r>
      <w:r w:rsidRPr="00994F39">
        <w:rPr>
          <w:noProof/>
          <w:sz w:val="22"/>
          <w:szCs w:val="22"/>
        </w:rPr>
        <w:tab/>
      </w:r>
      <w:bookmarkEnd w:id="34"/>
    </w:p>
    <w:p w14:paraId="7CF7CCAC" w14:textId="77777777" w:rsidR="00994F39" w:rsidRPr="00994F39" w:rsidRDefault="00994F39" w:rsidP="00994F39">
      <w:pPr>
        <w:ind w:left="720" w:hanging="720"/>
        <w:rPr>
          <w:noProof/>
          <w:sz w:val="22"/>
          <w:szCs w:val="22"/>
        </w:rPr>
      </w:pPr>
      <w:bookmarkStart w:id="35" w:name="_ENREF_35"/>
      <w:r w:rsidRPr="00994F39">
        <w:rPr>
          <w:noProof/>
          <w:sz w:val="22"/>
          <w:szCs w:val="22"/>
        </w:rPr>
        <w:t xml:space="preserve">Saad-Harfouche, F. G., Jandorf, L., Gage, E., Thélémaque, L. D., Colón, J., Castillo, A. G., . . . Erwin, D. O. (2011). Esperanza y Vida: training lay health advisors and cancer survivors to promote breast and cervical cancer screening in Latinas. </w:t>
      </w:r>
      <w:r w:rsidRPr="00994F39">
        <w:rPr>
          <w:i/>
          <w:noProof/>
          <w:sz w:val="22"/>
          <w:szCs w:val="22"/>
        </w:rPr>
        <w:t>Journal of Community Health</w:t>
      </w:r>
      <w:r w:rsidRPr="00994F39">
        <w:rPr>
          <w:noProof/>
          <w:sz w:val="22"/>
          <w:szCs w:val="22"/>
        </w:rPr>
        <w:t xml:space="preserve">, 36(2):219-27. </w:t>
      </w:r>
      <w:r w:rsidRPr="00994F39">
        <w:rPr>
          <w:noProof/>
          <w:sz w:val="22"/>
          <w:szCs w:val="22"/>
        </w:rPr>
        <w:tab/>
      </w:r>
      <w:bookmarkEnd w:id="35"/>
    </w:p>
    <w:p w14:paraId="4973CCCF" w14:textId="77777777" w:rsidR="00994F39" w:rsidRPr="00994F39" w:rsidRDefault="00994F39" w:rsidP="00994F39">
      <w:pPr>
        <w:ind w:left="720" w:hanging="720"/>
        <w:rPr>
          <w:noProof/>
          <w:sz w:val="22"/>
          <w:szCs w:val="22"/>
        </w:rPr>
      </w:pPr>
      <w:bookmarkStart w:id="36" w:name="_ENREF_36"/>
      <w:r w:rsidRPr="00994F39">
        <w:rPr>
          <w:noProof/>
          <w:sz w:val="22"/>
          <w:szCs w:val="22"/>
        </w:rPr>
        <w:t xml:space="preserve">Sue, S., &amp; Chu, J. Y. (2003). The mental health of ethnic minority groups: challenges posed by the Supplement to the Surgeon General's Report on Mental Health. </w:t>
      </w:r>
      <w:r w:rsidRPr="00994F39">
        <w:rPr>
          <w:i/>
          <w:noProof/>
          <w:sz w:val="22"/>
          <w:szCs w:val="22"/>
        </w:rPr>
        <w:t>Culture, Medicine, andPsychiatry, 27</w:t>
      </w:r>
      <w:r w:rsidRPr="00994F39">
        <w:rPr>
          <w:noProof/>
          <w:sz w:val="22"/>
          <w:szCs w:val="22"/>
        </w:rPr>
        <w:t xml:space="preserve">(4), 447-465. </w:t>
      </w:r>
      <w:r w:rsidRPr="00994F39">
        <w:rPr>
          <w:noProof/>
          <w:sz w:val="22"/>
          <w:szCs w:val="22"/>
        </w:rPr>
        <w:tab/>
      </w:r>
      <w:bookmarkEnd w:id="36"/>
    </w:p>
    <w:p w14:paraId="7A84F172" w14:textId="77777777" w:rsidR="00994F39" w:rsidRPr="00994F39" w:rsidRDefault="00994F39" w:rsidP="00994F39">
      <w:pPr>
        <w:ind w:left="720" w:hanging="720"/>
        <w:rPr>
          <w:noProof/>
          <w:sz w:val="22"/>
          <w:szCs w:val="22"/>
        </w:rPr>
      </w:pPr>
      <w:bookmarkStart w:id="37" w:name="_ENREF_37"/>
      <w:r w:rsidRPr="00994F39">
        <w:rPr>
          <w:noProof/>
          <w:sz w:val="22"/>
          <w:szCs w:val="22"/>
        </w:rPr>
        <w:t xml:space="preserve">Trimble, J. E., &amp; Fisher, C. B. (2006). </w:t>
      </w:r>
      <w:r w:rsidRPr="00994F39">
        <w:rPr>
          <w:i/>
          <w:noProof/>
          <w:sz w:val="22"/>
          <w:szCs w:val="22"/>
        </w:rPr>
        <w:t>The handbook of ethical reserach with ethnocultural populations &amp; communities</w:t>
      </w:r>
      <w:r w:rsidRPr="00994F39">
        <w:rPr>
          <w:noProof/>
          <w:sz w:val="22"/>
          <w:szCs w:val="22"/>
        </w:rPr>
        <w:t>. Thousand Oaks, California: Sage Publications, Inc.</w:t>
      </w:r>
      <w:bookmarkEnd w:id="37"/>
    </w:p>
    <w:p w14:paraId="592F90DB" w14:textId="77777777" w:rsidR="00994F39" w:rsidRPr="00994F39" w:rsidRDefault="00994F39" w:rsidP="00994F39">
      <w:pPr>
        <w:ind w:left="720" w:hanging="720"/>
        <w:rPr>
          <w:noProof/>
          <w:sz w:val="22"/>
          <w:szCs w:val="22"/>
        </w:rPr>
      </w:pPr>
      <w:bookmarkStart w:id="38" w:name="_ENREF_38"/>
      <w:r w:rsidRPr="00994F39">
        <w:rPr>
          <w:noProof/>
          <w:sz w:val="22"/>
          <w:szCs w:val="22"/>
        </w:rPr>
        <w:lastRenderedPageBreak/>
        <w:t>US Department of Health and Human Services. (2001). Mental Health: Culture, Race, and Ethnicity--A supplement to Mental Health: A Report of the Surgeon General</w:t>
      </w:r>
      <w:r w:rsidRPr="00994F39">
        <w:rPr>
          <w:i/>
          <w:noProof/>
          <w:sz w:val="22"/>
          <w:szCs w:val="22"/>
        </w:rPr>
        <w:t xml:space="preserve"> </w:t>
      </w:r>
      <w:r w:rsidRPr="00994F39">
        <w:rPr>
          <w:noProof/>
          <w:sz w:val="22"/>
          <w:szCs w:val="22"/>
        </w:rPr>
        <w:t xml:space="preserve">  Retrieved from http://www.surgeongeneral.gov/library/mentalhealth/cre/ </w:t>
      </w:r>
      <w:r w:rsidRPr="00994F39">
        <w:rPr>
          <w:noProof/>
          <w:sz w:val="22"/>
          <w:szCs w:val="22"/>
        </w:rPr>
        <w:tab/>
      </w:r>
      <w:bookmarkEnd w:id="38"/>
    </w:p>
    <w:p w14:paraId="10D517E0" w14:textId="77777777" w:rsidR="00994F39" w:rsidRPr="00994F39" w:rsidRDefault="00994F39" w:rsidP="00994F39">
      <w:pPr>
        <w:ind w:left="720" w:hanging="720"/>
        <w:rPr>
          <w:noProof/>
          <w:sz w:val="22"/>
          <w:szCs w:val="22"/>
        </w:rPr>
      </w:pPr>
      <w:bookmarkStart w:id="39" w:name="_ENREF_39"/>
      <w:r w:rsidRPr="00994F39">
        <w:rPr>
          <w:noProof/>
          <w:sz w:val="22"/>
          <w:szCs w:val="22"/>
        </w:rPr>
        <w:t xml:space="preserve">Vega, W. A., &amp; Lopez, S. R. (2001). Priority issues in Latino mental health services research. </w:t>
      </w:r>
      <w:r w:rsidRPr="00994F39">
        <w:rPr>
          <w:i/>
          <w:noProof/>
          <w:sz w:val="22"/>
          <w:szCs w:val="22"/>
        </w:rPr>
        <w:t>Mental Health Services Research, 3</w:t>
      </w:r>
      <w:r w:rsidRPr="00994F39">
        <w:rPr>
          <w:noProof/>
          <w:sz w:val="22"/>
          <w:szCs w:val="22"/>
        </w:rPr>
        <w:t xml:space="preserve">(4), 189-200. </w:t>
      </w:r>
      <w:r w:rsidRPr="00994F39">
        <w:rPr>
          <w:noProof/>
          <w:sz w:val="22"/>
          <w:szCs w:val="22"/>
        </w:rPr>
        <w:tab/>
      </w:r>
      <w:bookmarkEnd w:id="39"/>
    </w:p>
    <w:p w14:paraId="5A019895" w14:textId="77777777" w:rsidR="00FB54C4" w:rsidRPr="00994F39" w:rsidRDefault="00994F39" w:rsidP="004F0963">
      <w:pPr>
        <w:ind w:left="720" w:hanging="720"/>
        <w:rPr>
          <w:sz w:val="22"/>
          <w:szCs w:val="22"/>
        </w:rPr>
      </w:pPr>
      <w:r w:rsidRPr="00994F39">
        <w:rPr>
          <w:noProof/>
          <w:sz w:val="22"/>
          <w:szCs w:val="22"/>
        </w:rPr>
        <w:t xml:space="preserve">Wang, P. S., Lane, M., Olfson, M., Pincus, H. A., Wells, K. B., &amp; Kessler, R. C. (2005). Twelve-Month use of mental health services in the United States: Results from the National Comorbidity Survey Replication. </w:t>
      </w:r>
      <w:r w:rsidRPr="00994F39">
        <w:rPr>
          <w:i/>
          <w:noProof/>
          <w:sz w:val="22"/>
          <w:szCs w:val="22"/>
        </w:rPr>
        <w:t>Arch Gen Psychiatry, 62</w:t>
      </w:r>
      <w:r w:rsidRPr="00994F39">
        <w:rPr>
          <w:noProof/>
          <w:sz w:val="22"/>
          <w:szCs w:val="22"/>
        </w:rPr>
        <w:t>(6), 629-640.</w:t>
      </w:r>
    </w:p>
    <w:p w14:paraId="0A476C6A" w14:textId="77777777" w:rsidR="00FB54C4" w:rsidRPr="00655224" w:rsidRDefault="00FB54C4">
      <w:pPr>
        <w:rPr>
          <w:sz w:val="22"/>
          <w:szCs w:val="22"/>
        </w:rPr>
      </w:pPr>
    </w:p>
    <w:p w14:paraId="7116E1A4" w14:textId="77777777" w:rsidR="007E3233" w:rsidRDefault="007E3233">
      <w:pPr>
        <w:rPr>
          <w:sz w:val="22"/>
          <w:szCs w:val="22"/>
        </w:rPr>
      </w:pPr>
    </w:p>
    <w:tbl>
      <w:tblPr>
        <w:tblW w:w="0" w:type="auto"/>
        <w:tblInd w:w="288" w:type="dxa"/>
        <w:tblLook w:val="0000" w:firstRow="0" w:lastRow="0" w:firstColumn="0" w:lastColumn="0" w:noHBand="0" w:noVBand="0"/>
      </w:tblPr>
      <w:tblGrid>
        <w:gridCol w:w="3420"/>
        <w:gridCol w:w="5580"/>
      </w:tblGrid>
      <w:tr w:rsidR="00854FD0" w:rsidRPr="00655224" w14:paraId="2F3F3788" w14:textId="77777777">
        <w:tc>
          <w:tcPr>
            <w:tcW w:w="3420" w:type="dxa"/>
          </w:tcPr>
          <w:p w14:paraId="15DB4731" w14:textId="77777777" w:rsidR="00854FD0" w:rsidRPr="00655224" w:rsidRDefault="00854FD0">
            <w:pPr>
              <w:rPr>
                <w:sz w:val="22"/>
                <w:szCs w:val="22"/>
              </w:rPr>
            </w:pPr>
          </w:p>
        </w:tc>
        <w:tc>
          <w:tcPr>
            <w:tcW w:w="5580" w:type="dxa"/>
          </w:tcPr>
          <w:p w14:paraId="1846EAF6" w14:textId="77777777" w:rsidR="00854FD0" w:rsidRPr="005554D2" w:rsidRDefault="00854FD0">
            <w:pPr>
              <w:pStyle w:val="Heading1"/>
              <w:rPr>
                <w:sz w:val="22"/>
                <w:szCs w:val="22"/>
              </w:rPr>
            </w:pPr>
            <w:r w:rsidRPr="005554D2">
              <w:rPr>
                <w:sz w:val="22"/>
                <w:szCs w:val="22"/>
              </w:rPr>
              <w:t>Author Information</w:t>
            </w:r>
          </w:p>
          <w:p w14:paraId="73B08FC5" w14:textId="77777777" w:rsidR="0089340C" w:rsidRDefault="0089340C" w:rsidP="007E3233">
            <w:pPr>
              <w:rPr>
                <w:sz w:val="22"/>
                <w:szCs w:val="22"/>
              </w:rPr>
            </w:pPr>
          </w:p>
          <w:p w14:paraId="57885F71" w14:textId="77777777" w:rsidR="00461842" w:rsidRPr="00FE6649" w:rsidRDefault="00994F39" w:rsidP="007E3233">
            <w:pPr>
              <w:rPr>
                <w:sz w:val="22"/>
                <w:szCs w:val="22"/>
              </w:rPr>
            </w:pPr>
            <w:r w:rsidRPr="00461842">
              <w:rPr>
                <w:sz w:val="22"/>
                <w:szCs w:val="22"/>
              </w:rPr>
              <w:t>*</w:t>
            </w:r>
            <w:r w:rsidRPr="00FE6649">
              <w:rPr>
                <w:sz w:val="22"/>
                <w:szCs w:val="22"/>
              </w:rPr>
              <w:t>Melissa A. Green, MPH</w:t>
            </w:r>
          </w:p>
          <w:p w14:paraId="25C25B07" w14:textId="77777777" w:rsidR="00461842" w:rsidRPr="00FE6649" w:rsidRDefault="00461842" w:rsidP="00461842">
            <w:pPr>
              <w:contextualSpacing/>
              <w:rPr>
                <w:sz w:val="22"/>
                <w:szCs w:val="22"/>
              </w:rPr>
            </w:pPr>
            <w:r w:rsidRPr="00FE6649">
              <w:rPr>
                <w:sz w:val="22"/>
                <w:szCs w:val="22"/>
              </w:rPr>
              <w:t xml:space="preserve">Cecil G. </w:t>
            </w:r>
            <w:proofErr w:type="spellStart"/>
            <w:r w:rsidRPr="00FE6649">
              <w:rPr>
                <w:sz w:val="22"/>
                <w:szCs w:val="22"/>
              </w:rPr>
              <w:t>Sheps</w:t>
            </w:r>
            <w:proofErr w:type="spellEnd"/>
            <w:r w:rsidRPr="00FE6649">
              <w:rPr>
                <w:sz w:val="22"/>
                <w:szCs w:val="22"/>
              </w:rPr>
              <w:t xml:space="preserve"> Center for Health Services Research</w:t>
            </w:r>
          </w:p>
          <w:p w14:paraId="2C2AE161" w14:textId="77777777" w:rsidR="00FE6649" w:rsidRPr="00FE6649" w:rsidRDefault="00FE6649" w:rsidP="00461842">
            <w:pPr>
              <w:contextualSpacing/>
              <w:rPr>
                <w:sz w:val="22"/>
                <w:szCs w:val="22"/>
              </w:rPr>
            </w:pPr>
            <w:r w:rsidRPr="00FE6649">
              <w:rPr>
                <w:sz w:val="22"/>
                <w:szCs w:val="22"/>
              </w:rPr>
              <w:t>University of North Carolina, NC</w:t>
            </w:r>
          </w:p>
          <w:p w14:paraId="041504CF" w14:textId="77777777" w:rsidR="00461842" w:rsidRPr="00FE6649" w:rsidRDefault="00461842" w:rsidP="00461842">
            <w:pPr>
              <w:contextualSpacing/>
              <w:rPr>
                <w:sz w:val="22"/>
                <w:szCs w:val="22"/>
              </w:rPr>
            </w:pPr>
            <w:r w:rsidRPr="00FE6649">
              <w:rPr>
                <w:sz w:val="22"/>
                <w:szCs w:val="22"/>
              </w:rPr>
              <w:t xml:space="preserve">725 Martin Luther King Jr. Blvd. </w:t>
            </w:r>
          </w:p>
          <w:p w14:paraId="35662003" w14:textId="77777777" w:rsidR="00461842" w:rsidRPr="00FE6649" w:rsidRDefault="00461842" w:rsidP="00461842">
            <w:pPr>
              <w:contextualSpacing/>
              <w:rPr>
                <w:sz w:val="22"/>
                <w:szCs w:val="22"/>
              </w:rPr>
            </w:pPr>
            <w:r w:rsidRPr="00FE6649">
              <w:rPr>
                <w:sz w:val="22"/>
                <w:szCs w:val="22"/>
              </w:rPr>
              <w:t>Chapel Hill, NC 27599</w:t>
            </w:r>
          </w:p>
          <w:p w14:paraId="29E6F061" w14:textId="77777777" w:rsidR="00461842" w:rsidRPr="00FE6649" w:rsidRDefault="00461842" w:rsidP="00461842">
            <w:pPr>
              <w:contextualSpacing/>
              <w:rPr>
                <w:sz w:val="22"/>
                <w:szCs w:val="22"/>
              </w:rPr>
            </w:pPr>
            <w:r w:rsidRPr="00FE6649">
              <w:rPr>
                <w:sz w:val="22"/>
                <w:szCs w:val="22"/>
              </w:rPr>
              <w:t>mgreen@schsr.unc.edu</w:t>
            </w:r>
          </w:p>
          <w:p w14:paraId="1BA07230" w14:textId="77777777" w:rsidR="00461842" w:rsidRPr="00FE6649" w:rsidRDefault="00461842" w:rsidP="00461842">
            <w:pPr>
              <w:contextualSpacing/>
              <w:rPr>
                <w:sz w:val="22"/>
                <w:szCs w:val="22"/>
              </w:rPr>
            </w:pPr>
            <w:r w:rsidRPr="00FE6649">
              <w:rPr>
                <w:sz w:val="22"/>
                <w:szCs w:val="22"/>
              </w:rPr>
              <w:t xml:space="preserve">Phone: 919-966-7107 </w:t>
            </w:r>
          </w:p>
          <w:p w14:paraId="754950B5" w14:textId="77777777" w:rsidR="00461842" w:rsidRPr="00FE6649" w:rsidRDefault="00461842" w:rsidP="00461842">
            <w:pPr>
              <w:rPr>
                <w:sz w:val="22"/>
                <w:szCs w:val="22"/>
              </w:rPr>
            </w:pPr>
            <w:r w:rsidRPr="00FE6649">
              <w:rPr>
                <w:sz w:val="22"/>
                <w:szCs w:val="22"/>
              </w:rPr>
              <w:t>Fax: 919-966-3811</w:t>
            </w:r>
          </w:p>
          <w:p w14:paraId="18AA3594" w14:textId="77777777" w:rsidR="00461842" w:rsidRPr="00FE6649" w:rsidRDefault="00461842" w:rsidP="007E3233">
            <w:pPr>
              <w:rPr>
                <w:sz w:val="22"/>
                <w:szCs w:val="22"/>
              </w:rPr>
            </w:pPr>
          </w:p>
          <w:p w14:paraId="54D63220" w14:textId="77777777" w:rsidR="00461842" w:rsidRPr="00FE6649" w:rsidRDefault="00994F39" w:rsidP="007E3233">
            <w:pPr>
              <w:rPr>
                <w:sz w:val="22"/>
                <w:szCs w:val="22"/>
              </w:rPr>
            </w:pPr>
            <w:r w:rsidRPr="00FE6649">
              <w:rPr>
                <w:sz w:val="22"/>
                <w:szCs w:val="22"/>
              </w:rPr>
              <w:t>Georgina Perez, MSW</w:t>
            </w:r>
          </w:p>
          <w:p w14:paraId="384DDAC7" w14:textId="77777777" w:rsidR="00461842" w:rsidRPr="00FE6649" w:rsidRDefault="00FE6649" w:rsidP="007E3233">
            <w:pPr>
              <w:rPr>
                <w:sz w:val="22"/>
                <w:szCs w:val="22"/>
              </w:rPr>
            </w:pPr>
            <w:r w:rsidRPr="00FE6649">
              <w:rPr>
                <w:sz w:val="22"/>
                <w:szCs w:val="22"/>
              </w:rPr>
              <w:t>Duke University Medical Center</w:t>
            </w:r>
            <w:r>
              <w:rPr>
                <w:sz w:val="22"/>
                <w:szCs w:val="22"/>
              </w:rPr>
              <w:t>, NC</w:t>
            </w:r>
          </w:p>
          <w:p w14:paraId="1DCEE660" w14:textId="77777777" w:rsidR="00FE6649" w:rsidRPr="00FE6649" w:rsidRDefault="00FE6649" w:rsidP="007E3233">
            <w:pPr>
              <w:rPr>
                <w:sz w:val="22"/>
                <w:szCs w:val="22"/>
              </w:rPr>
            </w:pPr>
          </w:p>
          <w:p w14:paraId="2568C1CD" w14:textId="77777777" w:rsidR="00461842" w:rsidRPr="00FE6649" w:rsidRDefault="00994F39" w:rsidP="007E3233">
            <w:pPr>
              <w:rPr>
                <w:sz w:val="22"/>
                <w:szCs w:val="22"/>
              </w:rPr>
            </w:pPr>
            <w:r w:rsidRPr="00FE6649">
              <w:rPr>
                <w:sz w:val="22"/>
                <w:szCs w:val="22"/>
              </w:rPr>
              <w:t xml:space="preserve">India J. </w:t>
            </w:r>
            <w:proofErr w:type="spellStart"/>
            <w:r w:rsidRPr="00FE6649">
              <w:rPr>
                <w:sz w:val="22"/>
                <w:szCs w:val="22"/>
              </w:rPr>
              <w:t>Ornelas</w:t>
            </w:r>
            <w:proofErr w:type="spellEnd"/>
            <w:r w:rsidRPr="00FE6649">
              <w:rPr>
                <w:sz w:val="22"/>
                <w:szCs w:val="22"/>
              </w:rPr>
              <w:t>, PhD</w:t>
            </w:r>
          </w:p>
          <w:p w14:paraId="3EDF8F8B" w14:textId="77777777" w:rsidR="00461842" w:rsidRPr="00FE6649" w:rsidRDefault="00FE6649" w:rsidP="007E3233">
            <w:pPr>
              <w:rPr>
                <w:sz w:val="22"/>
                <w:szCs w:val="22"/>
              </w:rPr>
            </w:pPr>
            <w:r w:rsidRPr="00FE6649">
              <w:rPr>
                <w:sz w:val="22"/>
                <w:szCs w:val="22"/>
              </w:rPr>
              <w:t>University of North Carolina</w:t>
            </w:r>
            <w:r>
              <w:rPr>
                <w:sz w:val="22"/>
                <w:szCs w:val="22"/>
              </w:rPr>
              <w:t>, NC</w:t>
            </w:r>
          </w:p>
          <w:p w14:paraId="21929892" w14:textId="77777777" w:rsidR="00FE6649" w:rsidRPr="00FE6649" w:rsidRDefault="00FE6649" w:rsidP="007E3233">
            <w:pPr>
              <w:rPr>
                <w:sz w:val="22"/>
                <w:szCs w:val="22"/>
              </w:rPr>
            </w:pPr>
          </w:p>
          <w:p w14:paraId="0FF3E10C" w14:textId="77777777" w:rsidR="00461842" w:rsidRPr="00FE6649" w:rsidRDefault="00994F39" w:rsidP="007E3233">
            <w:pPr>
              <w:rPr>
                <w:sz w:val="22"/>
                <w:szCs w:val="22"/>
              </w:rPr>
            </w:pPr>
            <w:proofErr w:type="spellStart"/>
            <w:r w:rsidRPr="00FE6649">
              <w:rPr>
                <w:sz w:val="22"/>
                <w:szCs w:val="22"/>
              </w:rPr>
              <w:t>Anh</w:t>
            </w:r>
            <w:proofErr w:type="spellEnd"/>
            <w:r w:rsidRPr="00FE6649">
              <w:rPr>
                <w:sz w:val="22"/>
                <w:szCs w:val="22"/>
              </w:rPr>
              <w:t xml:space="preserve"> N. Tran, PhD, MPH</w:t>
            </w:r>
          </w:p>
          <w:p w14:paraId="1A0D5231" w14:textId="77777777" w:rsidR="00461842" w:rsidRPr="00FE6649" w:rsidRDefault="00FE6649" w:rsidP="007E3233">
            <w:pPr>
              <w:rPr>
                <w:sz w:val="22"/>
                <w:szCs w:val="22"/>
              </w:rPr>
            </w:pPr>
            <w:r w:rsidRPr="00FE6649">
              <w:rPr>
                <w:sz w:val="22"/>
                <w:szCs w:val="22"/>
              </w:rPr>
              <w:t>Duke University Medical Center</w:t>
            </w:r>
            <w:r>
              <w:rPr>
                <w:sz w:val="22"/>
                <w:szCs w:val="22"/>
              </w:rPr>
              <w:t>, NC</w:t>
            </w:r>
          </w:p>
          <w:p w14:paraId="0C16EA8F" w14:textId="77777777" w:rsidR="00FE6649" w:rsidRPr="00FE6649" w:rsidRDefault="00FE6649" w:rsidP="007E3233">
            <w:pPr>
              <w:rPr>
                <w:sz w:val="22"/>
                <w:szCs w:val="22"/>
              </w:rPr>
            </w:pPr>
          </w:p>
          <w:p w14:paraId="663131BC" w14:textId="77777777" w:rsidR="00461842" w:rsidRPr="00FE6649" w:rsidRDefault="00994F39" w:rsidP="007E3233">
            <w:pPr>
              <w:rPr>
                <w:sz w:val="22"/>
                <w:szCs w:val="22"/>
              </w:rPr>
            </w:pPr>
            <w:r w:rsidRPr="00FE6649">
              <w:rPr>
                <w:sz w:val="22"/>
                <w:szCs w:val="22"/>
              </w:rPr>
              <w:t>Connie Blumenthal, MPH</w:t>
            </w:r>
          </w:p>
          <w:p w14:paraId="084DE592" w14:textId="77777777" w:rsidR="00461842" w:rsidRPr="00FE6649" w:rsidRDefault="00FE6649" w:rsidP="007E3233">
            <w:pPr>
              <w:rPr>
                <w:sz w:val="22"/>
                <w:szCs w:val="22"/>
              </w:rPr>
            </w:pPr>
            <w:r w:rsidRPr="00FE6649">
              <w:rPr>
                <w:sz w:val="22"/>
                <w:szCs w:val="22"/>
              </w:rPr>
              <w:t>University of North Carolina</w:t>
            </w:r>
            <w:r>
              <w:rPr>
                <w:sz w:val="22"/>
                <w:szCs w:val="22"/>
              </w:rPr>
              <w:t>, NC</w:t>
            </w:r>
          </w:p>
          <w:p w14:paraId="2F6CD793" w14:textId="77777777" w:rsidR="00FE6649" w:rsidRPr="00FE6649" w:rsidRDefault="00FE6649" w:rsidP="007E3233">
            <w:pPr>
              <w:rPr>
                <w:sz w:val="22"/>
                <w:szCs w:val="22"/>
              </w:rPr>
            </w:pPr>
          </w:p>
          <w:p w14:paraId="7D96EB74" w14:textId="77777777" w:rsidR="00461842" w:rsidRPr="00FE6649" w:rsidRDefault="00994F39" w:rsidP="007E3233">
            <w:pPr>
              <w:rPr>
                <w:sz w:val="22"/>
                <w:szCs w:val="22"/>
              </w:rPr>
            </w:pPr>
            <w:r w:rsidRPr="00FE6649">
              <w:rPr>
                <w:sz w:val="22"/>
                <w:szCs w:val="22"/>
              </w:rPr>
              <w:t>Michelle Lyn, MHA, MBA</w:t>
            </w:r>
          </w:p>
          <w:p w14:paraId="21D3C52B" w14:textId="77777777" w:rsidR="00811A71" w:rsidRPr="00FE6649" w:rsidRDefault="00811A71" w:rsidP="00811A71">
            <w:pPr>
              <w:rPr>
                <w:sz w:val="22"/>
                <w:szCs w:val="22"/>
              </w:rPr>
            </w:pPr>
            <w:r w:rsidRPr="00FE6649">
              <w:rPr>
                <w:sz w:val="22"/>
                <w:szCs w:val="22"/>
              </w:rPr>
              <w:t>Duke University Medical Center</w:t>
            </w:r>
            <w:r>
              <w:rPr>
                <w:sz w:val="22"/>
                <w:szCs w:val="22"/>
              </w:rPr>
              <w:t>, NC</w:t>
            </w:r>
          </w:p>
          <w:p w14:paraId="543FB832" w14:textId="77777777" w:rsidR="00FE6649" w:rsidRPr="00FE6649" w:rsidRDefault="00FE6649" w:rsidP="007E3233">
            <w:pPr>
              <w:rPr>
                <w:sz w:val="22"/>
                <w:szCs w:val="22"/>
              </w:rPr>
            </w:pPr>
          </w:p>
          <w:p w14:paraId="2B8A2B22" w14:textId="77777777" w:rsidR="00C30D54" w:rsidRPr="00FE6649" w:rsidRDefault="00994F39" w:rsidP="007E3233">
            <w:pPr>
              <w:rPr>
                <w:sz w:val="22"/>
                <w:szCs w:val="22"/>
              </w:rPr>
            </w:pPr>
            <w:r w:rsidRPr="00FE6649">
              <w:rPr>
                <w:sz w:val="22"/>
                <w:szCs w:val="22"/>
              </w:rPr>
              <w:t xml:space="preserve">Giselle </w:t>
            </w:r>
            <w:proofErr w:type="spellStart"/>
            <w:r w:rsidRPr="00FE6649">
              <w:rPr>
                <w:sz w:val="22"/>
                <w:szCs w:val="22"/>
              </w:rPr>
              <w:t>Corbie</w:t>
            </w:r>
            <w:proofErr w:type="spellEnd"/>
            <w:r w:rsidRPr="00FE6649">
              <w:rPr>
                <w:sz w:val="22"/>
                <w:szCs w:val="22"/>
              </w:rPr>
              <w:t>-Smith, MD, MSc</w:t>
            </w:r>
          </w:p>
          <w:p w14:paraId="6EA59070" w14:textId="77777777" w:rsidR="002331C1" w:rsidRDefault="00FE6649" w:rsidP="007E3233">
            <w:r w:rsidRPr="00FE6649">
              <w:rPr>
                <w:sz w:val="22"/>
                <w:szCs w:val="22"/>
              </w:rPr>
              <w:t>University of North Carolina</w:t>
            </w:r>
            <w:r>
              <w:rPr>
                <w:sz w:val="22"/>
                <w:szCs w:val="22"/>
              </w:rPr>
              <w:t>, NC</w:t>
            </w:r>
          </w:p>
          <w:p w14:paraId="60A317C4" w14:textId="77777777" w:rsidR="00FE6649" w:rsidRPr="00461842" w:rsidRDefault="00FE6649" w:rsidP="007E3233">
            <w:pPr>
              <w:rPr>
                <w:sz w:val="22"/>
                <w:szCs w:val="22"/>
              </w:rPr>
            </w:pPr>
          </w:p>
          <w:p w14:paraId="6BD39670" w14:textId="77777777" w:rsidR="005554D2" w:rsidRPr="005554D2" w:rsidRDefault="005554D2" w:rsidP="007E3233">
            <w:pPr>
              <w:rPr>
                <w:sz w:val="18"/>
                <w:szCs w:val="18"/>
              </w:rPr>
            </w:pPr>
            <w:r w:rsidRPr="005554D2">
              <w:rPr>
                <w:sz w:val="18"/>
                <w:szCs w:val="18"/>
              </w:rPr>
              <w:t>* corresponding author</w:t>
            </w:r>
          </w:p>
        </w:tc>
      </w:tr>
    </w:tbl>
    <w:p w14:paraId="2742252A" w14:textId="77777777" w:rsidR="00854FD0" w:rsidRDefault="00854FD0">
      <w:pPr>
        <w:rPr>
          <w:sz w:val="22"/>
          <w:szCs w:val="22"/>
        </w:rPr>
      </w:pPr>
    </w:p>
    <w:p w14:paraId="2F987E0C" w14:textId="77777777" w:rsidR="002209B2" w:rsidRPr="00394FB6" w:rsidRDefault="002209B2" w:rsidP="00394FB6">
      <w:pPr>
        <w:spacing w:line="360" w:lineRule="auto"/>
        <w:rPr>
          <w:sz w:val="28"/>
          <w:szCs w:val="28"/>
        </w:rPr>
      </w:pPr>
    </w:p>
    <w:sectPr w:rsidR="002209B2" w:rsidRPr="00394FB6" w:rsidSect="00155C82">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9E6024" w14:textId="77777777" w:rsidR="003B2A4F" w:rsidRDefault="003B2A4F">
      <w:r>
        <w:separator/>
      </w:r>
    </w:p>
  </w:endnote>
  <w:endnote w:type="continuationSeparator" w:id="0">
    <w:p w14:paraId="24F61247" w14:textId="77777777" w:rsidR="003B2A4F" w:rsidRDefault="003B2A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605926" w14:textId="77777777" w:rsidR="003B2A4F" w:rsidRDefault="003B2A4F" w:rsidP="00854FD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48BB42" w14:textId="77777777" w:rsidR="003B2A4F" w:rsidRDefault="003B2A4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C157FB" w14:textId="77777777" w:rsidR="003B2A4F" w:rsidRPr="00854FD0" w:rsidRDefault="003B2A4F" w:rsidP="00854FD0">
    <w:pPr>
      <w:pStyle w:val="Footer"/>
      <w:framePr w:wrap="around" w:vAnchor="text" w:hAnchor="margin" w:xAlign="center" w:y="1"/>
      <w:rPr>
        <w:rStyle w:val="PageNumber"/>
        <w:sz w:val="22"/>
        <w:szCs w:val="22"/>
      </w:rPr>
    </w:pPr>
    <w:r w:rsidRPr="00854FD0">
      <w:rPr>
        <w:rStyle w:val="PageNumber"/>
        <w:sz w:val="22"/>
        <w:szCs w:val="22"/>
      </w:rPr>
      <w:fldChar w:fldCharType="begin"/>
    </w:r>
    <w:r w:rsidRPr="00854FD0">
      <w:rPr>
        <w:rStyle w:val="PageNumber"/>
        <w:sz w:val="22"/>
        <w:szCs w:val="22"/>
      </w:rPr>
      <w:instrText xml:space="preserve">PAGE  </w:instrText>
    </w:r>
    <w:r w:rsidRPr="00854FD0">
      <w:rPr>
        <w:rStyle w:val="PageNumber"/>
        <w:sz w:val="22"/>
        <w:szCs w:val="22"/>
      </w:rPr>
      <w:fldChar w:fldCharType="separate"/>
    </w:r>
    <w:r w:rsidR="00A90CAB">
      <w:rPr>
        <w:rStyle w:val="PageNumber"/>
        <w:noProof/>
        <w:sz w:val="22"/>
        <w:szCs w:val="22"/>
      </w:rPr>
      <w:t>63</w:t>
    </w:r>
    <w:r w:rsidRPr="00854FD0">
      <w:rPr>
        <w:rStyle w:val="PageNumber"/>
        <w:sz w:val="22"/>
        <w:szCs w:val="22"/>
      </w:rPr>
      <w:fldChar w:fldCharType="end"/>
    </w:r>
  </w:p>
  <w:p w14:paraId="215931A5" w14:textId="77777777" w:rsidR="003B2A4F" w:rsidRDefault="003B2A4F">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81F82D" w14:textId="77777777" w:rsidR="00A90CAB" w:rsidRDefault="00A90CA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562100" w14:textId="77777777" w:rsidR="003B2A4F" w:rsidRDefault="003B2A4F">
      <w:r>
        <w:separator/>
      </w:r>
    </w:p>
  </w:footnote>
  <w:footnote w:type="continuationSeparator" w:id="0">
    <w:p w14:paraId="119D612F" w14:textId="77777777" w:rsidR="003B2A4F" w:rsidRDefault="003B2A4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D99920" w14:textId="77777777" w:rsidR="003B2A4F" w:rsidRDefault="003B2A4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5D41154" w14:textId="77777777" w:rsidR="003B2A4F" w:rsidRDefault="003B2A4F">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80" w:type="dxa"/>
      <w:tblInd w:w="108" w:type="dxa"/>
      <w:tblLook w:val="0000" w:firstRow="0" w:lastRow="0" w:firstColumn="0" w:lastColumn="0" w:noHBand="0" w:noVBand="0"/>
    </w:tblPr>
    <w:tblGrid>
      <w:gridCol w:w="9180"/>
    </w:tblGrid>
    <w:tr w:rsidR="003B2A4F" w14:paraId="626C589B" w14:textId="77777777">
      <w:tc>
        <w:tcPr>
          <w:tcW w:w="9180" w:type="dxa"/>
        </w:tcPr>
        <w:p w14:paraId="3D683955" w14:textId="6ACE719D" w:rsidR="003B2A4F" w:rsidRPr="00D54E85" w:rsidRDefault="003B2A4F" w:rsidP="00007748">
          <w:pPr>
            <w:pStyle w:val="Header"/>
            <w:ind w:right="360"/>
            <w:rPr>
              <w:i/>
              <w:iCs/>
              <w:sz w:val="16"/>
              <w:szCs w:val="16"/>
            </w:rPr>
          </w:pPr>
          <w:r>
            <w:rPr>
              <w:i/>
              <w:iCs/>
              <w:sz w:val="16"/>
              <w:szCs w:val="16"/>
            </w:rPr>
            <w:t xml:space="preserve">Green, M. A., Perez, G., </w:t>
          </w:r>
          <w:proofErr w:type="spellStart"/>
          <w:r>
            <w:rPr>
              <w:i/>
              <w:iCs/>
              <w:sz w:val="16"/>
              <w:szCs w:val="16"/>
            </w:rPr>
            <w:t>Ornelas</w:t>
          </w:r>
          <w:proofErr w:type="spellEnd"/>
          <w:r>
            <w:rPr>
              <w:i/>
              <w:iCs/>
              <w:sz w:val="16"/>
              <w:szCs w:val="16"/>
            </w:rPr>
            <w:t xml:space="preserve">, I. J., Tran, A. N., Blumenthal, C., Lyn, M. &amp; </w:t>
          </w:r>
          <w:proofErr w:type="spellStart"/>
          <w:r>
            <w:rPr>
              <w:i/>
              <w:iCs/>
              <w:sz w:val="16"/>
              <w:szCs w:val="16"/>
            </w:rPr>
            <w:t>Corbie</w:t>
          </w:r>
          <w:proofErr w:type="spellEnd"/>
          <w:r>
            <w:rPr>
              <w:i/>
              <w:iCs/>
              <w:sz w:val="16"/>
              <w:szCs w:val="16"/>
            </w:rPr>
            <w:t xml:space="preserve">-Smith, G. </w:t>
          </w:r>
          <w:r w:rsidRPr="00D54E85">
            <w:rPr>
              <w:i/>
              <w:iCs/>
              <w:sz w:val="16"/>
              <w:szCs w:val="16"/>
            </w:rPr>
            <w:t>/ Californian</w:t>
          </w:r>
          <w:r>
            <w:rPr>
              <w:i/>
              <w:iCs/>
              <w:sz w:val="16"/>
              <w:szCs w:val="16"/>
            </w:rPr>
            <w:t xml:space="preserve"> Journal of Health Promotion 2012</w:t>
          </w:r>
          <w:r w:rsidRPr="00D54E85">
            <w:rPr>
              <w:i/>
              <w:iCs/>
              <w:sz w:val="16"/>
              <w:szCs w:val="16"/>
            </w:rPr>
            <w:t xml:space="preserve">, Volume </w:t>
          </w:r>
          <w:r>
            <w:rPr>
              <w:i/>
              <w:iCs/>
              <w:sz w:val="16"/>
              <w:szCs w:val="16"/>
            </w:rPr>
            <w:t>10,</w:t>
          </w:r>
          <w:r w:rsidRPr="00D54E85">
            <w:rPr>
              <w:i/>
              <w:iCs/>
              <w:sz w:val="16"/>
              <w:szCs w:val="16"/>
            </w:rPr>
            <w:t xml:space="preserve"> </w:t>
          </w:r>
          <w:r w:rsidR="00A90CAB" w:rsidRPr="00D54E85">
            <w:rPr>
              <w:i/>
              <w:iCs/>
              <w:sz w:val="16"/>
              <w:szCs w:val="16"/>
            </w:rPr>
            <w:t xml:space="preserve">Volume </w:t>
          </w:r>
          <w:r w:rsidR="00A90CAB">
            <w:rPr>
              <w:i/>
              <w:iCs/>
              <w:sz w:val="16"/>
              <w:szCs w:val="16"/>
            </w:rPr>
            <w:t xml:space="preserve">10, Special Issue: </w:t>
          </w:r>
          <w:r w:rsidR="00A90CAB" w:rsidRPr="002531E2">
            <w:rPr>
              <w:bCs/>
              <w:i/>
              <w:sz w:val="16"/>
              <w:szCs w:val="16"/>
            </w:rPr>
            <w:t>Health Disparities in Latino Communities</w:t>
          </w:r>
          <w:r w:rsidRPr="00D54E85">
            <w:rPr>
              <w:i/>
              <w:iCs/>
              <w:sz w:val="16"/>
              <w:szCs w:val="16"/>
            </w:rPr>
            <w:t xml:space="preserve">, </w:t>
          </w:r>
          <w:r w:rsidR="00007748">
            <w:rPr>
              <w:i/>
              <w:iCs/>
              <w:sz w:val="16"/>
              <w:szCs w:val="16"/>
            </w:rPr>
            <w:t>52-64</w:t>
          </w:r>
        </w:p>
      </w:tc>
    </w:tr>
  </w:tbl>
  <w:p w14:paraId="71900D45" w14:textId="77777777" w:rsidR="003B2A4F" w:rsidRDefault="003B2A4F">
    <w:pPr>
      <w:pStyle w:val="Header"/>
      <w:rPr>
        <w:sz w:val="16"/>
      </w:rPr>
    </w:pPr>
    <w:bookmarkStart w:id="0" w:name="_GoBack"/>
    <w:bookmarkEnd w:id="0"/>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3789B" w14:textId="77777777" w:rsidR="00A90CAB" w:rsidRDefault="00A90CA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C64F84"/>
    <w:multiLevelType w:val="hybridMultilevel"/>
    <w:tmpl w:val="4D3E9C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136"/>
    <w:rsid w:val="00007748"/>
    <w:rsid w:val="00012472"/>
    <w:rsid w:val="00021FC0"/>
    <w:rsid w:val="000356D6"/>
    <w:rsid w:val="000546B2"/>
    <w:rsid w:val="000959DC"/>
    <w:rsid w:val="000971A5"/>
    <w:rsid w:val="000C00CD"/>
    <w:rsid w:val="000C0D73"/>
    <w:rsid w:val="000D5CF8"/>
    <w:rsid w:val="0010155B"/>
    <w:rsid w:val="00111C12"/>
    <w:rsid w:val="00155C82"/>
    <w:rsid w:val="0016523D"/>
    <w:rsid w:val="00172F5E"/>
    <w:rsid w:val="001912B1"/>
    <w:rsid w:val="001E1F34"/>
    <w:rsid w:val="002049AB"/>
    <w:rsid w:val="002209B2"/>
    <w:rsid w:val="00232719"/>
    <w:rsid w:val="002331C1"/>
    <w:rsid w:val="00237AC0"/>
    <w:rsid w:val="002469C7"/>
    <w:rsid w:val="0026241E"/>
    <w:rsid w:val="002811E8"/>
    <w:rsid w:val="002967F1"/>
    <w:rsid w:val="002A20A2"/>
    <w:rsid w:val="002A2B7B"/>
    <w:rsid w:val="002D3329"/>
    <w:rsid w:val="002E614D"/>
    <w:rsid w:val="002F77B0"/>
    <w:rsid w:val="003019A3"/>
    <w:rsid w:val="0034301D"/>
    <w:rsid w:val="003535D4"/>
    <w:rsid w:val="003627EC"/>
    <w:rsid w:val="00370F08"/>
    <w:rsid w:val="00391A8D"/>
    <w:rsid w:val="00394FB6"/>
    <w:rsid w:val="00396848"/>
    <w:rsid w:val="003B2A4F"/>
    <w:rsid w:val="003B6243"/>
    <w:rsid w:val="003C360F"/>
    <w:rsid w:val="003D4B0C"/>
    <w:rsid w:val="003E1E8A"/>
    <w:rsid w:val="003F4074"/>
    <w:rsid w:val="00410631"/>
    <w:rsid w:val="0042351D"/>
    <w:rsid w:val="00425DA3"/>
    <w:rsid w:val="004419EC"/>
    <w:rsid w:val="00450125"/>
    <w:rsid w:val="00461842"/>
    <w:rsid w:val="00473F43"/>
    <w:rsid w:val="00491D0A"/>
    <w:rsid w:val="00491DAE"/>
    <w:rsid w:val="00493A3A"/>
    <w:rsid w:val="004A7A06"/>
    <w:rsid w:val="004D03AF"/>
    <w:rsid w:val="004F0963"/>
    <w:rsid w:val="005308ED"/>
    <w:rsid w:val="005554D2"/>
    <w:rsid w:val="005833DE"/>
    <w:rsid w:val="00586B1C"/>
    <w:rsid w:val="005A07E4"/>
    <w:rsid w:val="005A5764"/>
    <w:rsid w:val="005F5778"/>
    <w:rsid w:val="00604755"/>
    <w:rsid w:val="006079AC"/>
    <w:rsid w:val="0062726B"/>
    <w:rsid w:val="00630136"/>
    <w:rsid w:val="00635705"/>
    <w:rsid w:val="00642553"/>
    <w:rsid w:val="00643448"/>
    <w:rsid w:val="006464E6"/>
    <w:rsid w:val="00653BF7"/>
    <w:rsid w:val="00655224"/>
    <w:rsid w:val="00681D32"/>
    <w:rsid w:val="00682AF9"/>
    <w:rsid w:val="00683CF2"/>
    <w:rsid w:val="006A662D"/>
    <w:rsid w:val="006B5B78"/>
    <w:rsid w:val="006E0E50"/>
    <w:rsid w:val="00700F1D"/>
    <w:rsid w:val="0074270A"/>
    <w:rsid w:val="00751B84"/>
    <w:rsid w:val="00760D18"/>
    <w:rsid w:val="00762457"/>
    <w:rsid w:val="0077657E"/>
    <w:rsid w:val="007B3DF9"/>
    <w:rsid w:val="007E3233"/>
    <w:rsid w:val="00811A71"/>
    <w:rsid w:val="008239BF"/>
    <w:rsid w:val="008540F8"/>
    <w:rsid w:val="00854FD0"/>
    <w:rsid w:val="00855D0A"/>
    <w:rsid w:val="00862F30"/>
    <w:rsid w:val="00874EDA"/>
    <w:rsid w:val="0089340C"/>
    <w:rsid w:val="00895470"/>
    <w:rsid w:val="008B2B9F"/>
    <w:rsid w:val="0091146B"/>
    <w:rsid w:val="0091424D"/>
    <w:rsid w:val="00925E6B"/>
    <w:rsid w:val="0096069F"/>
    <w:rsid w:val="0096650C"/>
    <w:rsid w:val="009769EC"/>
    <w:rsid w:val="009822B2"/>
    <w:rsid w:val="00987F79"/>
    <w:rsid w:val="00994F39"/>
    <w:rsid w:val="009C5FB4"/>
    <w:rsid w:val="009E163D"/>
    <w:rsid w:val="00A074DF"/>
    <w:rsid w:val="00A07A59"/>
    <w:rsid w:val="00A30A49"/>
    <w:rsid w:val="00A8379F"/>
    <w:rsid w:val="00A90CAB"/>
    <w:rsid w:val="00AE5556"/>
    <w:rsid w:val="00B13DCC"/>
    <w:rsid w:val="00B458D4"/>
    <w:rsid w:val="00B50B37"/>
    <w:rsid w:val="00B62990"/>
    <w:rsid w:val="00B84554"/>
    <w:rsid w:val="00BA3ABB"/>
    <w:rsid w:val="00BA3F94"/>
    <w:rsid w:val="00BA4448"/>
    <w:rsid w:val="00BB329C"/>
    <w:rsid w:val="00BC6ED2"/>
    <w:rsid w:val="00C30D54"/>
    <w:rsid w:val="00C326F6"/>
    <w:rsid w:val="00CA64FD"/>
    <w:rsid w:val="00CA7C49"/>
    <w:rsid w:val="00CC1083"/>
    <w:rsid w:val="00CD42ED"/>
    <w:rsid w:val="00D03FA5"/>
    <w:rsid w:val="00D43A6B"/>
    <w:rsid w:val="00D54E85"/>
    <w:rsid w:val="00D95023"/>
    <w:rsid w:val="00DA0CFE"/>
    <w:rsid w:val="00DA6FC6"/>
    <w:rsid w:val="00DF7A37"/>
    <w:rsid w:val="00E132EE"/>
    <w:rsid w:val="00E51BEC"/>
    <w:rsid w:val="00EB601F"/>
    <w:rsid w:val="00EC16D5"/>
    <w:rsid w:val="00ED746B"/>
    <w:rsid w:val="00F23C8E"/>
    <w:rsid w:val="00F86E93"/>
    <w:rsid w:val="00F928FC"/>
    <w:rsid w:val="00FA0641"/>
    <w:rsid w:val="00FA4FB4"/>
    <w:rsid w:val="00FB54C4"/>
    <w:rsid w:val="00FC409F"/>
    <w:rsid w:val="00FC5230"/>
    <w:rsid w:val="00FC73BD"/>
    <w:rsid w:val="00FE66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47BC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iPriority="35"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58D4"/>
    <w:rPr>
      <w:sz w:val="24"/>
      <w:szCs w:val="24"/>
    </w:rPr>
  </w:style>
  <w:style w:type="paragraph" w:styleId="Heading1">
    <w:name w:val="heading 1"/>
    <w:basedOn w:val="Normal"/>
    <w:next w:val="Normal"/>
    <w:qFormat/>
    <w:rsid w:val="00B458D4"/>
    <w:pPr>
      <w:keepNext/>
      <w:outlineLvl w:val="0"/>
    </w:pPr>
    <w:rPr>
      <w:sz w:val="20"/>
      <w:u w:val="single"/>
    </w:rPr>
  </w:style>
  <w:style w:type="paragraph" w:styleId="Heading2">
    <w:name w:val="heading 2"/>
    <w:basedOn w:val="Normal"/>
    <w:next w:val="Normal"/>
    <w:qFormat/>
    <w:rsid w:val="00B458D4"/>
    <w:pPr>
      <w:keepNext/>
      <w:outlineLvl w:val="1"/>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458D4"/>
    <w:pPr>
      <w:tabs>
        <w:tab w:val="center" w:pos="4320"/>
        <w:tab w:val="right" w:pos="8640"/>
      </w:tabs>
    </w:pPr>
  </w:style>
  <w:style w:type="paragraph" w:styleId="Footer">
    <w:name w:val="footer"/>
    <w:basedOn w:val="Normal"/>
    <w:rsid w:val="00B458D4"/>
    <w:pPr>
      <w:tabs>
        <w:tab w:val="center" w:pos="4320"/>
        <w:tab w:val="right" w:pos="8640"/>
      </w:tabs>
    </w:pPr>
  </w:style>
  <w:style w:type="character" w:styleId="PageNumber">
    <w:name w:val="page number"/>
    <w:basedOn w:val="DefaultParagraphFont"/>
    <w:rsid w:val="00B458D4"/>
  </w:style>
  <w:style w:type="character" w:styleId="Hyperlink">
    <w:name w:val="Hyperlink"/>
    <w:basedOn w:val="DefaultParagraphFont"/>
    <w:uiPriority w:val="99"/>
    <w:rsid w:val="00925E6B"/>
    <w:rPr>
      <w:color w:val="0000FF"/>
      <w:u w:val="single"/>
    </w:rPr>
  </w:style>
  <w:style w:type="table" w:styleId="TableGrid">
    <w:name w:val="Table Grid"/>
    <w:basedOn w:val="TableNormal"/>
    <w:uiPriority w:val="59"/>
    <w:rsid w:val="00155C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unhideWhenUsed/>
    <w:rsid w:val="00A074DF"/>
    <w:rPr>
      <w:sz w:val="16"/>
      <w:szCs w:val="16"/>
    </w:rPr>
  </w:style>
  <w:style w:type="paragraph" w:styleId="Caption">
    <w:name w:val="caption"/>
    <w:basedOn w:val="Normal"/>
    <w:next w:val="Normal"/>
    <w:uiPriority w:val="35"/>
    <w:qFormat/>
    <w:rsid w:val="001912B1"/>
    <w:pPr>
      <w:spacing w:after="200" w:line="276" w:lineRule="auto"/>
    </w:pPr>
    <w:rPr>
      <w:rFonts w:ascii="Calibri" w:eastAsia="Calibri" w:hAnsi="Calibri"/>
      <w:b/>
      <w:bCs/>
      <w:sz w:val="20"/>
      <w:szCs w:val="20"/>
    </w:rPr>
  </w:style>
  <w:style w:type="paragraph" w:styleId="ListParagraph">
    <w:name w:val="List Paragraph"/>
    <w:basedOn w:val="Normal"/>
    <w:uiPriority w:val="34"/>
    <w:qFormat/>
    <w:rsid w:val="0026241E"/>
    <w:pPr>
      <w:spacing w:after="200" w:line="276" w:lineRule="auto"/>
      <w:ind w:left="720"/>
      <w:contextualSpacing/>
    </w:pPr>
    <w:rPr>
      <w:rFonts w:ascii="Calibri" w:hAnsi="Calibri"/>
      <w:sz w:val="22"/>
      <w:szCs w:val="22"/>
    </w:rPr>
  </w:style>
  <w:style w:type="paragraph" w:styleId="BalloonText">
    <w:name w:val="Balloon Text"/>
    <w:basedOn w:val="Normal"/>
    <w:link w:val="BalloonTextChar"/>
    <w:rsid w:val="00604755"/>
    <w:rPr>
      <w:rFonts w:ascii="Tahoma" w:hAnsi="Tahoma" w:cs="Tahoma"/>
      <w:sz w:val="16"/>
      <w:szCs w:val="16"/>
    </w:rPr>
  </w:style>
  <w:style w:type="character" w:customStyle="1" w:styleId="BalloonTextChar">
    <w:name w:val="Balloon Text Char"/>
    <w:basedOn w:val="DefaultParagraphFont"/>
    <w:link w:val="BalloonText"/>
    <w:rsid w:val="00604755"/>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iPriority="35"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58D4"/>
    <w:rPr>
      <w:sz w:val="24"/>
      <w:szCs w:val="24"/>
    </w:rPr>
  </w:style>
  <w:style w:type="paragraph" w:styleId="Heading1">
    <w:name w:val="heading 1"/>
    <w:basedOn w:val="Normal"/>
    <w:next w:val="Normal"/>
    <w:qFormat/>
    <w:rsid w:val="00B458D4"/>
    <w:pPr>
      <w:keepNext/>
      <w:outlineLvl w:val="0"/>
    </w:pPr>
    <w:rPr>
      <w:sz w:val="20"/>
      <w:u w:val="single"/>
    </w:rPr>
  </w:style>
  <w:style w:type="paragraph" w:styleId="Heading2">
    <w:name w:val="heading 2"/>
    <w:basedOn w:val="Normal"/>
    <w:next w:val="Normal"/>
    <w:qFormat/>
    <w:rsid w:val="00B458D4"/>
    <w:pPr>
      <w:keepNext/>
      <w:outlineLvl w:val="1"/>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458D4"/>
    <w:pPr>
      <w:tabs>
        <w:tab w:val="center" w:pos="4320"/>
        <w:tab w:val="right" w:pos="8640"/>
      </w:tabs>
    </w:pPr>
  </w:style>
  <w:style w:type="paragraph" w:styleId="Footer">
    <w:name w:val="footer"/>
    <w:basedOn w:val="Normal"/>
    <w:rsid w:val="00B458D4"/>
    <w:pPr>
      <w:tabs>
        <w:tab w:val="center" w:pos="4320"/>
        <w:tab w:val="right" w:pos="8640"/>
      </w:tabs>
    </w:pPr>
  </w:style>
  <w:style w:type="character" w:styleId="PageNumber">
    <w:name w:val="page number"/>
    <w:basedOn w:val="DefaultParagraphFont"/>
    <w:rsid w:val="00B458D4"/>
  </w:style>
  <w:style w:type="character" w:styleId="Hyperlink">
    <w:name w:val="Hyperlink"/>
    <w:basedOn w:val="DefaultParagraphFont"/>
    <w:uiPriority w:val="99"/>
    <w:rsid w:val="00925E6B"/>
    <w:rPr>
      <w:color w:val="0000FF"/>
      <w:u w:val="single"/>
    </w:rPr>
  </w:style>
  <w:style w:type="table" w:styleId="TableGrid">
    <w:name w:val="Table Grid"/>
    <w:basedOn w:val="TableNormal"/>
    <w:uiPriority w:val="59"/>
    <w:rsid w:val="00155C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unhideWhenUsed/>
    <w:rsid w:val="00A074DF"/>
    <w:rPr>
      <w:sz w:val="16"/>
      <w:szCs w:val="16"/>
    </w:rPr>
  </w:style>
  <w:style w:type="paragraph" w:styleId="Caption">
    <w:name w:val="caption"/>
    <w:basedOn w:val="Normal"/>
    <w:next w:val="Normal"/>
    <w:uiPriority w:val="35"/>
    <w:qFormat/>
    <w:rsid w:val="001912B1"/>
    <w:pPr>
      <w:spacing w:after="200" w:line="276" w:lineRule="auto"/>
    </w:pPr>
    <w:rPr>
      <w:rFonts w:ascii="Calibri" w:eastAsia="Calibri" w:hAnsi="Calibri"/>
      <w:b/>
      <w:bCs/>
      <w:sz w:val="20"/>
      <w:szCs w:val="20"/>
    </w:rPr>
  </w:style>
  <w:style w:type="paragraph" w:styleId="ListParagraph">
    <w:name w:val="List Paragraph"/>
    <w:basedOn w:val="Normal"/>
    <w:uiPriority w:val="34"/>
    <w:qFormat/>
    <w:rsid w:val="0026241E"/>
    <w:pPr>
      <w:spacing w:after="200" w:line="276" w:lineRule="auto"/>
      <w:ind w:left="720"/>
      <w:contextualSpacing/>
    </w:pPr>
    <w:rPr>
      <w:rFonts w:ascii="Calibri" w:hAnsi="Calibri"/>
      <w:sz w:val="22"/>
      <w:szCs w:val="22"/>
    </w:rPr>
  </w:style>
  <w:style w:type="paragraph" w:styleId="BalloonText">
    <w:name w:val="Balloon Text"/>
    <w:basedOn w:val="Normal"/>
    <w:link w:val="BalloonTextChar"/>
    <w:rsid w:val="00604755"/>
    <w:rPr>
      <w:rFonts w:ascii="Tahoma" w:hAnsi="Tahoma" w:cs="Tahoma"/>
      <w:sz w:val="16"/>
      <w:szCs w:val="16"/>
    </w:rPr>
  </w:style>
  <w:style w:type="character" w:customStyle="1" w:styleId="BalloonTextChar">
    <w:name w:val="Balloon Text Char"/>
    <w:basedOn w:val="DefaultParagraphFont"/>
    <w:link w:val="BalloonText"/>
    <w:rsid w:val="0060475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image" Target="media/image1.emf"/><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6727</Words>
  <Characters>38350</Characters>
  <Application>Microsoft Macintosh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PASTE TITLE HERE</vt:lpstr>
    </vt:vector>
  </TitlesOfParts>
  <Company>California State University, Fullerton</Company>
  <LinksUpToDate>false</LinksUpToDate>
  <CharactersWithSpaces>44988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PASTE TITLE HERE</dc:title>
  <dc:subject>Californian Journal of Health Promotion 2011 Volume 9 Issue 2</dc:subject>
  <dc:creator>PASTE AUTHOR HERE</dc:creator>
  <cp:keywords>PASTE KEYWORDS HERE</cp:keywords>
  <dc:description>http://www.cjhp.org</dc:description>
  <cp:lastModifiedBy>Georgia Halkia</cp:lastModifiedBy>
  <cp:revision>3</cp:revision>
  <cp:lastPrinted>2007-09-01T20:45:00Z</cp:lastPrinted>
  <dcterms:created xsi:type="dcterms:W3CDTF">2012-11-20T19:13:00Z</dcterms:created>
  <dcterms:modified xsi:type="dcterms:W3CDTF">2012-11-20T19:14:00Z</dcterms:modified>
</cp:coreProperties>
</file>