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E321D" w14:textId="77777777" w:rsidR="00940D15" w:rsidRPr="006F2D3D" w:rsidRDefault="00940D15">
      <w:pPr>
        <w:pStyle w:val="Header"/>
        <w:tabs>
          <w:tab w:val="clear" w:pos="4320"/>
          <w:tab w:val="clear" w:pos="8640"/>
        </w:tabs>
        <w:jc w:val="center"/>
        <w:rPr>
          <w:vertAlign w:val="superscript"/>
        </w:rPr>
      </w:pPr>
    </w:p>
    <w:p w14:paraId="00857122" w14:textId="77777777" w:rsidR="00940D15" w:rsidRDefault="005A6D84">
      <w:pPr>
        <w:pStyle w:val="Header"/>
        <w:tabs>
          <w:tab w:val="clear" w:pos="4320"/>
          <w:tab w:val="clear" w:pos="8640"/>
        </w:tabs>
        <w:jc w:val="center"/>
        <w:rPr>
          <w:sz w:val="28"/>
          <w:szCs w:val="28"/>
        </w:rPr>
      </w:pPr>
      <w:r>
        <w:rPr>
          <w:sz w:val="28"/>
          <w:szCs w:val="28"/>
        </w:rPr>
        <w:t>Community Profiles: An Evaluation and Planning Tool for Neighborhood Systems and Environmental Change E</w:t>
      </w:r>
      <w:r w:rsidR="00940D15" w:rsidRPr="00AC69C9">
        <w:rPr>
          <w:sz w:val="28"/>
          <w:szCs w:val="28"/>
        </w:rPr>
        <w:t>fforts</w:t>
      </w:r>
    </w:p>
    <w:p w14:paraId="1A51DCBA" w14:textId="77777777" w:rsidR="00940D15" w:rsidRPr="00DF7A37" w:rsidRDefault="00940D15">
      <w:pPr>
        <w:pStyle w:val="Header"/>
        <w:tabs>
          <w:tab w:val="clear" w:pos="4320"/>
          <w:tab w:val="clear" w:pos="8640"/>
        </w:tabs>
        <w:jc w:val="center"/>
        <w:rPr>
          <w:sz w:val="20"/>
          <w:szCs w:val="20"/>
        </w:rPr>
      </w:pPr>
    </w:p>
    <w:p w14:paraId="518D87F7" w14:textId="77777777" w:rsidR="00940D15" w:rsidRPr="002331C1" w:rsidRDefault="00940D15" w:rsidP="00AC69C9">
      <w:pPr>
        <w:pStyle w:val="Header"/>
        <w:jc w:val="center"/>
      </w:pPr>
      <w:bookmarkStart w:id="0" w:name="OLE_LINK1"/>
      <w:bookmarkStart w:id="1" w:name="OLE_LINK2"/>
      <w:bookmarkStart w:id="2" w:name="OLE_LINK3"/>
      <w:bookmarkStart w:id="3" w:name="OLE_LINK4"/>
      <w:r>
        <w:t>Melissa A. Henderson, Zoila C. Sanchez, Kevin A. Koegel, Lua Zawacki, Griselda Martinez, and Maia Ingram</w:t>
      </w:r>
    </w:p>
    <w:bookmarkEnd w:id="0"/>
    <w:bookmarkEnd w:id="1"/>
    <w:bookmarkEnd w:id="2"/>
    <w:bookmarkEnd w:id="3"/>
    <w:p w14:paraId="3DA5DD25" w14:textId="77777777" w:rsidR="00940D15" w:rsidRDefault="00940D15">
      <w:pPr>
        <w:pStyle w:val="Header"/>
        <w:tabs>
          <w:tab w:val="clear" w:pos="4320"/>
          <w:tab w:val="clear" w:pos="8640"/>
        </w:tabs>
        <w:jc w:val="center"/>
        <w:rPr>
          <w:sz w:val="20"/>
          <w:szCs w:val="20"/>
        </w:rPr>
      </w:pPr>
    </w:p>
    <w:p w14:paraId="1F219E79" w14:textId="77777777" w:rsidR="00940D15" w:rsidRDefault="00940D15" w:rsidP="00AC69C9">
      <w:pPr>
        <w:jc w:val="center"/>
        <w:rPr>
          <w:i/>
          <w:iCs/>
        </w:rPr>
      </w:pPr>
      <w:r w:rsidRPr="00AC69C9">
        <w:rPr>
          <w:i/>
          <w:iCs/>
        </w:rPr>
        <w:t>University of Arizona</w:t>
      </w:r>
    </w:p>
    <w:p w14:paraId="67C94D1D" w14:textId="77777777" w:rsidR="00940D15" w:rsidRDefault="00940D15" w:rsidP="00AC69C9">
      <w:pPr>
        <w:jc w:val="center"/>
        <w:rPr>
          <w:sz w:val="22"/>
          <w:szCs w:val="22"/>
        </w:rPr>
      </w:pPr>
    </w:p>
    <w:p w14:paraId="30A0447A" w14:textId="77777777" w:rsidR="00940D15" w:rsidRPr="00450125" w:rsidRDefault="00940D15" w:rsidP="00450125">
      <w:pPr>
        <w:pStyle w:val="Heading2"/>
        <w:spacing w:line="360" w:lineRule="auto"/>
        <w:jc w:val="center"/>
        <w:rPr>
          <w:sz w:val="24"/>
          <w:szCs w:val="24"/>
        </w:rPr>
      </w:pPr>
      <w:r w:rsidRPr="00450125">
        <w:rPr>
          <w:sz w:val="24"/>
          <w:szCs w:val="24"/>
        </w:rPr>
        <w:t>Abstract</w:t>
      </w:r>
    </w:p>
    <w:p w14:paraId="0F6FC83A" w14:textId="77777777" w:rsidR="00940D15" w:rsidRDefault="00940D15" w:rsidP="00A65E8B">
      <w:pPr>
        <w:jc w:val="both"/>
        <w:rPr>
          <w:sz w:val="22"/>
          <w:szCs w:val="22"/>
        </w:rPr>
      </w:pPr>
      <w:r w:rsidRPr="00000B70">
        <w:rPr>
          <w:b/>
          <w:bCs/>
          <w:sz w:val="22"/>
          <w:szCs w:val="22"/>
        </w:rPr>
        <w:t>Purpose:</w:t>
      </w:r>
      <w:r>
        <w:rPr>
          <w:sz w:val="22"/>
          <w:szCs w:val="22"/>
        </w:rPr>
        <w:t xml:space="preserve"> </w:t>
      </w:r>
      <w:r w:rsidRPr="00A65E8B">
        <w:rPr>
          <w:sz w:val="22"/>
          <w:szCs w:val="22"/>
        </w:rPr>
        <w:t>Latinos in the US experience health disparities in obesity and related disease outcomes. There is national recognition that modifiable risk factors are influenced by the places that people work, live and play. Latinos are more likely to live in areas with limited access to affordable healthy food and</w:t>
      </w:r>
      <w:r>
        <w:rPr>
          <w:sz w:val="22"/>
          <w:szCs w:val="22"/>
        </w:rPr>
        <w:t xml:space="preserve"> recreational facilities. </w:t>
      </w:r>
      <w:r w:rsidRPr="00000B70">
        <w:rPr>
          <w:b/>
          <w:bCs/>
          <w:sz w:val="22"/>
          <w:szCs w:val="22"/>
        </w:rPr>
        <w:t>Design:</w:t>
      </w:r>
      <w:r w:rsidRPr="00A65E8B">
        <w:rPr>
          <w:sz w:val="22"/>
          <w:szCs w:val="22"/>
        </w:rPr>
        <w:t xml:space="preserve"> This paper describes the development and use of neighborhood profiles as a tool for (1) assessing neighborhood built environments and (2) planning for neighborhood-based efforts focused on systems and environmental change. Our neighborhood profiles united four diverse data sources: secondary data, observational assessments, neighborhood connector interviews and resident surveys. </w:t>
      </w:r>
      <w:r w:rsidRPr="00000B70">
        <w:rPr>
          <w:b/>
          <w:bCs/>
          <w:sz w:val="22"/>
          <w:szCs w:val="22"/>
        </w:rPr>
        <w:t>S</w:t>
      </w:r>
      <w:r>
        <w:rPr>
          <w:b/>
          <w:bCs/>
          <w:sz w:val="22"/>
          <w:szCs w:val="22"/>
        </w:rPr>
        <w:t>ubjects</w:t>
      </w:r>
      <w:r w:rsidRPr="00000B70">
        <w:rPr>
          <w:b/>
          <w:bCs/>
          <w:sz w:val="22"/>
          <w:szCs w:val="22"/>
        </w:rPr>
        <w:t>:</w:t>
      </w:r>
      <w:r w:rsidRPr="00A65E8B">
        <w:rPr>
          <w:sz w:val="22"/>
          <w:szCs w:val="22"/>
        </w:rPr>
        <w:t xml:space="preserve"> Twelve mostly urban, largely Latino neighborhoods of high economic disparity in Pima </w:t>
      </w:r>
      <w:r>
        <w:rPr>
          <w:sz w:val="22"/>
          <w:szCs w:val="22"/>
        </w:rPr>
        <w:t xml:space="preserve">County, Arizona were included. </w:t>
      </w:r>
      <w:r w:rsidRPr="00000B70">
        <w:rPr>
          <w:b/>
          <w:bCs/>
          <w:sz w:val="22"/>
          <w:szCs w:val="22"/>
        </w:rPr>
        <w:t>Analysis:</w:t>
      </w:r>
      <w:r w:rsidRPr="00A65E8B">
        <w:rPr>
          <w:sz w:val="22"/>
          <w:szCs w:val="22"/>
        </w:rPr>
        <w:t xml:space="preserve"> Secondary data was analyzed to describe sociodemographic characteristics of neighborhoods, while observational assessments were used to quantify and qualify asp</w:t>
      </w:r>
      <w:r>
        <w:rPr>
          <w:sz w:val="22"/>
          <w:szCs w:val="22"/>
        </w:rPr>
        <w:t xml:space="preserve">ects of the built environment. </w:t>
      </w:r>
      <w:r w:rsidRPr="00A65E8B">
        <w:rPr>
          <w:sz w:val="22"/>
          <w:szCs w:val="22"/>
        </w:rPr>
        <w:t>Neighborhood surveys and connector interviews were analyzed using frequency distributions and content analysis.</w:t>
      </w:r>
      <w:r>
        <w:rPr>
          <w:sz w:val="22"/>
          <w:szCs w:val="22"/>
        </w:rPr>
        <w:t xml:space="preserve"> </w:t>
      </w:r>
      <w:r w:rsidRPr="00000B70">
        <w:rPr>
          <w:b/>
          <w:bCs/>
          <w:sz w:val="22"/>
          <w:szCs w:val="22"/>
        </w:rPr>
        <w:t>Results:</w:t>
      </w:r>
      <w:r w:rsidRPr="00A65E8B">
        <w:rPr>
          <w:sz w:val="22"/>
          <w:szCs w:val="22"/>
        </w:rPr>
        <w:t xml:space="preserve"> Neighborhoods varied in healthy food availability and phy</w:t>
      </w:r>
      <w:r>
        <w:rPr>
          <w:sz w:val="22"/>
          <w:szCs w:val="22"/>
        </w:rPr>
        <w:t xml:space="preserve">sical activity infrastructure. </w:t>
      </w:r>
      <w:r w:rsidRPr="00A65E8B">
        <w:rPr>
          <w:sz w:val="22"/>
          <w:szCs w:val="22"/>
        </w:rPr>
        <w:t>Overall, residents indicated that community gardens and healthy food options in local st</w:t>
      </w:r>
      <w:r>
        <w:rPr>
          <w:sz w:val="22"/>
          <w:szCs w:val="22"/>
        </w:rPr>
        <w:t xml:space="preserve">ores are priorities. </w:t>
      </w:r>
      <w:r w:rsidRPr="00000B70">
        <w:rPr>
          <w:b/>
          <w:bCs/>
          <w:sz w:val="22"/>
          <w:szCs w:val="22"/>
        </w:rPr>
        <w:t>Conclusion:</w:t>
      </w:r>
      <w:r w:rsidRPr="00A65E8B">
        <w:rPr>
          <w:sz w:val="22"/>
          <w:szCs w:val="22"/>
        </w:rPr>
        <w:t xml:space="preserve"> Neighborhood profiles demonstrated potential as an evaluation and community-planning tool to assist communities to create healthy environments.</w:t>
      </w:r>
    </w:p>
    <w:p w14:paraId="4E610C9F" w14:textId="77777777" w:rsidR="00940D15" w:rsidRPr="00ED746B" w:rsidRDefault="00940D15" w:rsidP="00ED746B">
      <w:pPr>
        <w:rPr>
          <w:sz w:val="22"/>
          <w:szCs w:val="22"/>
        </w:rPr>
      </w:pPr>
    </w:p>
    <w:p w14:paraId="7C2E0866" w14:textId="77777777" w:rsidR="00940D15" w:rsidRPr="00655224" w:rsidRDefault="00940D15" w:rsidP="00630136">
      <w:pPr>
        <w:rPr>
          <w:sz w:val="20"/>
          <w:szCs w:val="20"/>
        </w:rPr>
      </w:pPr>
      <w:r>
        <w:rPr>
          <w:sz w:val="20"/>
          <w:szCs w:val="20"/>
        </w:rPr>
        <w:t>© 2011</w:t>
      </w:r>
      <w:r w:rsidRPr="00655224">
        <w:rPr>
          <w:sz w:val="20"/>
          <w:szCs w:val="20"/>
        </w:rPr>
        <w:t xml:space="preserve"> Californian Journal of Health Promotion</w:t>
      </w:r>
      <w:r>
        <w:rPr>
          <w:sz w:val="20"/>
          <w:szCs w:val="20"/>
        </w:rPr>
        <w:t xml:space="preserve">. </w:t>
      </w:r>
      <w:r w:rsidRPr="00655224">
        <w:rPr>
          <w:sz w:val="20"/>
          <w:szCs w:val="20"/>
        </w:rPr>
        <w:t>All rights reserved.</w:t>
      </w:r>
    </w:p>
    <w:p w14:paraId="0D052CB1" w14:textId="77777777" w:rsidR="00940D15" w:rsidRPr="00643448" w:rsidRDefault="00940D15" w:rsidP="00630136">
      <w:pPr>
        <w:rPr>
          <w:i/>
          <w:iCs/>
          <w:sz w:val="20"/>
          <w:szCs w:val="20"/>
        </w:rPr>
      </w:pPr>
      <w:r w:rsidRPr="00655224">
        <w:rPr>
          <w:i/>
          <w:iCs/>
          <w:sz w:val="20"/>
          <w:szCs w:val="20"/>
        </w:rPr>
        <w:t xml:space="preserve">Keywords: </w:t>
      </w:r>
      <w:bookmarkStart w:id="4" w:name="OLE_LINK5"/>
      <w:bookmarkStart w:id="5" w:name="OLE_LINK6"/>
      <w:r w:rsidRPr="00621D85">
        <w:rPr>
          <w:i/>
          <w:iCs/>
          <w:sz w:val="20"/>
          <w:szCs w:val="20"/>
        </w:rPr>
        <w:t>community engagement, community assessment, built environment, food environment, evaluation</w:t>
      </w:r>
    </w:p>
    <w:bookmarkEnd w:id="4"/>
    <w:bookmarkEnd w:id="5"/>
    <w:p w14:paraId="1A902AB1" w14:textId="77777777" w:rsidR="00940D15" w:rsidRPr="00655224" w:rsidRDefault="00940D15">
      <w:pPr>
        <w:rPr>
          <w:sz w:val="22"/>
          <w:szCs w:val="22"/>
        </w:rPr>
      </w:pPr>
    </w:p>
    <w:p w14:paraId="27C2781B" w14:textId="77777777" w:rsidR="00940D15" w:rsidRPr="00655224" w:rsidRDefault="00940D15" w:rsidP="00155C82">
      <w:pPr>
        <w:rPr>
          <w:sz w:val="22"/>
          <w:szCs w:val="22"/>
        </w:rPr>
      </w:pPr>
    </w:p>
    <w:p w14:paraId="6A86794D" w14:textId="77777777" w:rsidR="00940D15" w:rsidRPr="00655224" w:rsidRDefault="00940D15" w:rsidP="00155C82">
      <w:pPr>
        <w:rPr>
          <w:b/>
          <w:bCs/>
          <w:sz w:val="22"/>
          <w:szCs w:val="22"/>
        </w:rPr>
        <w:sectPr w:rsidR="00940D15" w:rsidRPr="00655224" w:rsidSect="00AF1B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37"/>
          <w:cols w:space="720"/>
          <w:docGrid w:linePitch="360"/>
        </w:sectPr>
      </w:pPr>
    </w:p>
    <w:p w14:paraId="43E8627A" w14:textId="77777777" w:rsidR="00940D15" w:rsidRPr="00FB05C6" w:rsidRDefault="00940D15" w:rsidP="00FB05C6">
      <w:pPr>
        <w:jc w:val="center"/>
        <w:rPr>
          <w:b/>
          <w:bCs/>
          <w:sz w:val="22"/>
          <w:szCs w:val="22"/>
        </w:rPr>
      </w:pPr>
      <w:r w:rsidRPr="00FB05C6">
        <w:rPr>
          <w:b/>
          <w:bCs/>
          <w:sz w:val="22"/>
          <w:szCs w:val="22"/>
        </w:rPr>
        <w:lastRenderedPageBreak/>
        <w:t>Introduction</w:t>
      </w:r>
    </w:p>
    <w:p w14:paraId="4516C48D" w14:textId="77777777" w:rsidR="00940D15" w:rsidRDefault="00940D15" w:rsidP="00621D85">
      <w:pPr>
        <w:jc w:val="both"/>
        <w:rPr>
          <w:sz w:val="22"/>
          <w:szCs w:val="22"/>
        </w:rPr>
      </w:pPr>
    </w:p>
    <w:p w14:paraId="157F3416" w14:textId="77777777" w:rsidR="00940D15" w:rsidRDefault="00940D15" w:rsidP="00621D85">
      <w:pPr>
        <w:jc w:val="both"/>
        <w:rPr>
          <w:sz w:val="22"/>
          <w:szCs w:val="22"/>
        </w:rPr>
      </w:pPr>
      <w:r w:rsidRPr="00621D85">
        <w:rPr>
          <w:sz w:val="22"/>
          <w:szCs w:val="22"/>
        </w:rPr>
        <w:t>Obesity has negative implications for the prevention and control of chronic disease, as well as overall quality of life and socia</w:t>
      </w:r>
      <w:r>
        <w:rPr>
          <w:sz w:val="22"/>
          <w:szCs w:val="22"/>
        </w:rPr>
        <w:t xml:space="preserve">l wellbeing (Kumanyika, 2008). </w:t>
      </w:r>
      <w:r w:rsidRPr="00621D85">
        <w:rPr>
          <w:sz w:val="22"/>
          <w:szCs w:val="22"/>
        </w:rPr>
        <w:t>Latinos in the US experience health disparities in both obesity and related disease outcomes (Perrin, Bloom, &amp; Gortmaker, 2007; Bond Huie, Hummer, &amp; Rogers, 2002). There is national recognition that modifiable risk factors such as obesity, nutrition and physical activity are influenced by the places that people work, live and play. Experts recommend that communities be transformed into places where healthy choices are easy and affordable (NPS 2011, Frieden, Dietz, &amp; Collins,</w:t>
      </w:r>
      <w:r>
        <w:rPr>
          <w:sz w:val="22"/>
          <w:szCs w:val="22"/>
        </w:rPr>
        <w:t xml:space="preserve"> 2010; Wang &amp; Beydoun, 2007). </w:t>
      </w:r>
      <w:r w:rsidRPr="00621D85">
        <w:rPr>
          <w:sz w:val="22"/>
          <w:szCs w:val="22"/>
        </w:rPr>
        <w:t xml:space="preserve">In this paper, we describe a method for developing an assessment and planning tool that focuses on </w:t>
      </w:r>
      <w:r w:rsidRPr="00621D85">
        <w:rPr>
          <w:sz w:val="22"/>
          <w:szCs w:val="22"/>
        </w:rPr>
        <w:lastRenderedPageBreak/>
        <w:t>physical activity and food environments a</w:t>
      </w:r>
      <w:r>
        <w:rPr>
          <w:sz w:val="22"/>
          <w:szCs w:val="22"/>
        </w:rPr>
        <w:t>t the neighborhood-level.</w:t>
      </w:r>
    </w:p>
    <w:p w14:paraId="4BFDE1D2" w14:textId="77777777" w:rsidR="00940D15" w:rsidRPr="00621D85" w:rsidRDefault="00940D15" w:rsidP="00621D85">
      <w:pPr>
        <w:jc w:val="both"/>
        <w:rPr>
          <w:sz w:val="22"/>
          <w:szCs w:val="22"/>
        </w:rPr>
      </w:pPr>
    </w:p>
    <w:p w14:paraId="65CD071C" w14:textId="77777777" w:rsidR="00940D15" w:rsidRPr="00FB05C6" w:rsidRDefault="00DF4D99" w:rsidP="00621D85">
      <w:pPr>
        <w:jc w:val="both"/>
        <w:rPr>
          <w:b/>
          <w:bCs/>
          <w:sz w:val="22"/>
          <w:szCs w:val="22"/>
        </w:rPr>
      </w:pPr>
      <w:r>
        <w:rPr>
          <w:b/>
          <w:bCs/>
          <w:sz w:val="22"/>
          <w:szCs w:val="22"/>
        </w:rPr>
        <w:t>Local E</w:t>
      </w:r>
      <w:r w:rsidR="00940D15" w:rsidRPr="00FB05C6">
        <w:rPr>
          <w:b/>
          <w:bCs/>
          <w:sz w:val="22"/>
          <w:szCs w:val="22"/>
        </w:rPr>
        <w:t>n</w:t>
      </w:r>
      <w:r>
        <w:rPr>
          <w:b/>
          <w:bCs/>
          <w:sz w:val="22"/>
          <w:szCs w:val="22"/>
        </w:rPr>
        <w:t>vironment and Impact on Diet and Physical A</w:t>
      </w:r>
      <w:r w:rsidR="00940D15" w:rsidRPr="00FB05C6">
        <w:rPr>
          <w:b/>
          <w:bCs/>
          <w:sz w:val="22"/>
          <w:szCs w:val="22"/>
        </w:rPr>
        <w:t>ctivity</w:t>
      </w:r>
    </w:p>
    <w:p w14:paraId="0596A480" w14:textId="77777777" w:rsidR="00940D15" w:rsidRDefault="00940D15" w:rsidP="00621D85">
      <w:pPr>
        <w:jc w:val="both"/>
        <w:rPr>
          <w:sz w:val="22"/>
          <w:szCs w:val="22"/>
        </w:rPr>
      </w:pPr>
      <w:r w:rsidRPr="00621D85">
        <w:rPr>
          <w:sz w:val="22"/>
          <w:szCs w:val="22"/>
        </w:rPr>
        <w:t>Latino communities in the US experience inequities in their immediate food and physical environments (Ver Ploeg et al., 2010; Mille</w:t>
      </w:r>
      <w:r>
        <w:rPr>
          <w:sz w:val="22"/>
          <w:szCs w:val="22"/>
        </w:rPr>
        <w:t xml:space="preserve">r, Pollack, &amp; Williams, 2011). </w:t>
      </w:r>
      <w:r w:rsidRPr="00621D85">
        <w:rPr>
          <w:sz w:val="22"/>
          <w:szCs w:val="22"/>
        </w:rPr>
        <w:t xml:space="preserve">Latinos are more likely to live in food deserts, or areas “that lack access to affordable fruits, vegetables, whole grains, low-fat milk and other foods that make up the full range of a healthy diet” (CDC, 2012). In these communities, fast food sources and convenience stores with limited healthy food options predominate over larger grocery stores or supermarkets that carry greater quantity and variety of nutritious foods (Shaw, 2006). These unsupportive food environments act as a barrier </w:t>
      </w:r>
      <w:r w:rsidRPr="00621D85">
        <w:rPr>
          <w:sz w:val="22"/>
          <w:szCs w:val="22"/>
        </w:rPr>
        <w:lastRenderedPageBreak/>
        <w:t>to a healthful diet (Larson, Story, &amp; Nelson, 2009), which in turn has negative implications regarding health (Michimi &amp; Wimberly, 2010). Latinos also have lower access to neighborhood parks and other recreational facilities. Wolch, Wilson, and Fehrenbach (2002) determined that low income areas and neighborhoods dominated by ethnic minorities had markedly lower levels of access to parks when compared to white-dominated areas of Los Angeles; a finding that has been replicated nationally (Gordon-Larsen, Nelson, Page, &amp; Popkin, 2006; Powell, Slater, Chaloupka, &amp; Harper, 2006). Given that living near parks, playgrounds and recreational areas has been shown to be related to physical activity in both children (Sallis &amp; Glanz, 2009) and adults (Evenson, Sarmiento, Tawney, Macon, &amp; Ammerman, 2005), equitable distribution of healthy food and physical activity opportunities are key components in creating healthy communities.</w:t>
      </w:r>
    </w:p>
    <w:p w14:paraId="7F31887B" w14:textId="77777777" w:rsidR="00940D15" w:rsidRPr="00621D85" w:rsidRDefault="00940D15" w:rsidP="00621D85">
      <w:pPr>
        <w:jc w:val="both"/>
        <w:rPr>
          <w:sz w:val="22"/>
          <w:szCs w:val="22"/>
        </w:rPr>
      </w:pPr>
    </w:p>
    <w:p w14:paraId="2A4DC98D" w14:textId="77777777" w:rsidR="00940D15" w:rsidRPr="00FB05C6" w:rsidRDefault="00DF4D99" w:rsidP="00621D85">
      <w:pPr>
        <w:jc w:val="both"/>
        <w:rPr>
          <w:b/>
          <w:bCs/>
          <w:sz w:val="22"/>
          <w:szCs w:val="22"/>
        </w:rPr>
      </w:pPr>
      <w:r>
        <w:rPr>
          <w:b/>
          <w:bCs/>
          <w:sz w:val="22"/>
          <w:szCs w:val="22"/>
        </w:rPr>
        <w:t>Community Engagement in Transforming E</w:t>
      </w:r>
      <w:r w:rsidR="00940D15" w:rsidRPr="00FB05C6">
        <w:rPr>
          <w:b/>
          <w:bCs/>
          <w:sz w:val="22"/>
          <w:szCs w:val="22"/>
        </w:rPr>
        <w:t>nvironments</w:t>
      </w:r>
    </w:p>
    <w:p w14:paraId="0539EB3C" w14:textId="77777777" w:rsidR="00940D15" w:rsidRDefault="00940D15" w:rsidP="00621D85">
      <w:pPr>
        <w:jc w:val="both"/>
        <w:rPr>
          <w:sz w:val="22"/>
          <w:szCs w:val="22"/>
        </w:rPr>
      </w:pPr>
      <w:r w:rsidRPr="00621D85">
        <w:rPr>
          <w:sz w:val="22"/>
          <w:szCs w:val="22"/>
        </w:rPr>
        <w:t xml:space="preserve">Public engagement and community participation are an effective means of addressing social conditions impacting health (May, Mendelson, &amp; Ferketich, 1995; Labonte, 1994) and creating healthy community environments (Miller, Pollack, &amp; Williams, 2011). In partnership with public health practitioners, the participation of community members in both the identification of local health problems and the process by which they are improved upon or resolved has shown to effect systemic change at the community level (Wakefield &amp; Poland, 2005). Several studies suggest that neighborhood factors, such as neighborhood reputation, perceptions of local community, and willingness of neighbors to assist one another are associated with health behavior and mental health (Altschuler, Somkin, &amp; Adler, 2004). This approach may be particularly relevant to Latino neighborhoods as a form of collective efficacy, which is a cultural focus on group rather than individual success and the importance of group membership (Trafimow &amp; Finley, 2001). While </w:t>
      </w:r>
      <w:r>
        <w:rPr>
          <w:sz w:val="22"/>
          <w:szCs w:val="22"/>
        </w:rPr>
        <w:br/>
      </w:r>
      <w:r>
        <w:rPr>
          <w:sz w:val="22"/>
          <w:szCs w:val="22"/>
        </w:rPr>
        <w:br/>
      </w:r>
      <w:r>
        <w:rPr>
          <w:sz w:val="22"/>
          <w:szCs w:val="22"/>
        </w:rPr>
        <w:br/>
      </w:r>
      <w:r>
        <w:rPr>
          <w:sz w:val="22"/>
          <w:szCs w:val="22"/>
        </w:rPr>
        <w:br/>
      </w:r>
      <w:r>
        <w:rPr>
          <w:sz w:val="22"/>
          <w:szCs w:val="22"/>
        </w:rPr>
        <w:br/>
      </w:r>
      <w:r w:rsidRPr="00621D85">
        <w:rPr>
          <w:sz w:val="22"/>
          <w:szCs w:val="22"/>
        </w:rPr>
        <w:lastRenderedPageBreak/>
        <w:t>not conclusive, this evidence suggests that neighborhood approaches that seek to involve residents in short-term projects that contribute to local environmental transformation, such as safe routes to school and community gardens have the potential to subsequently encourage longer-term efforts. The neighborhood profile was an assessment tool developed through the Pima County Communities Putting Prevention to Work Initiative (CPPW) designed to measure changes in physical activity and nutrition environments in several urban, largely Latino neighborhoods in Tucson, Ariz</w:t>
      </w:r>
      <w:r>
        <w:rPr>
          <w:sz w:val="22"/>
          <w:szCs w:val="22"/>
        </w:rPr>
        <w:t>ona.</w:t>
      </w:r>
    </w:p>
    <w:p w14:paraId="1A021B71" w14:textId="77777777" w:rsidR="00940D15" w:rsidRPr="00621D85" w:rsidRDefault="00940D15" w:rsidP="00621D85">
      <w:pPr>
        <w:jc w:val="both"/>
        <w:rPr>
          <w:sz w:val="22"/>
          <w:szCs w:val="22"/>
        </w:rPr>
      </w:pPr>
    </w:p>
    <w:p w14:paraId="5DE36BD5" w14:textId="77777777" w:rsidR="00940D15" w:rsidRPr="00FB05C6" w:rsidRDefault="00940D15" w:rsidP="00FB05C6">
      <w:pPr>
        <w:rPr>
          <w:b/>
          <w:bCs/>
          <w:sz w:val="22"/>
          <w:szCs w:val="22"/>
        </w:rPr>
      </w:pPr>
      <w:r w:rsidRPr="00FB05C6">
        <w:rPr>
          <w:b/>
          <w:bCs/>
          <w:sz w:val="22"/>
          <w:szCs w:val="22"/>
        </w:rPr>
        <w:t>Pima County Communities Putting Prevention to Work</w:t>
      </w:r>
    </w:p>
    <w:p w14:paraId="78ACA38A" w14:textId="77777777" w:rsidR="00940D15" w:rsidRDefault="00940D15" w:rsidP="00621D85">
      <w:pPr>
        <w:jc w:val="both"/>
        <w:rPr>
          <w:sz w:val="22"/>
          <w:szCs w:val="22"/>
        </w:rPr>
      </w:pPr>
      <w:r w:rsidRPr="00621D85">
        <w:rPr>
          <w:sz w:val="22"/>
          <w:szCs w:val="22"/>
        </w:rPr>
        <w:t>With funding from the American Recovery and Reinvestment Act of 2009, the Communities Putting Prevention to Work Initiative (CPPW) asserted that achieving changes in social and physical environments had the greatest potential for reducing childhood obesity (Frieden, Dietz, &amp; Collins, 2010). In 2010, the Pima County Health Department received a CPPW grant to create policy, systems and environmental changes to increase access to physical activity and improve nutrition in Pima County through a broad spectrum of community agencies representing education, urban planning, agriculture, community development and health and human services. While the broader focus of CPPW funding was to address obesity, the emphasis on systems and environmental changes offered an opportunity to engage neighborhoods in addressing the context of health behaviors rather than the behaviors themselves.  This paper describes the efforts of PRO Neighborhoods, a local community capacity-building organization, and the CPPW evaluation team at the University of Arizona Prevention Research Center (AzPRC) to develop neighborhood profiles, which were then used by residents in local planning processes such as ‘visioning’ meetings to develop nei</w:t>
      </w:r>
      <w:r>
        <w:rPr>
          <w:sz w:val="22"/>
          <w:szCs w:val="22"/>
        </w:rPr>
        <w:t xml:space="preserve">ghborhood </w:t>
      </w:r>
      <w:r w:rsidRPr="00621D85">
        <w:rPr>
          <w:sz w:val="22"/>
          <w:szCs w:val="22"/>
        </w:rPr>
        <w:t xml:space="preserve">projects. Neighborhood representatives were invited to participate in the planning, development, and reporting of the neighborhood profiles. </w:t>
      </w:r>
      <w:r>
        <w:rPr>
          <w:sz w:val="22"/>
          <w:szCs w:val="22"/>
        </w:rPr>
        <w:br/>
      </w:r>
      <w:r>
        <w:rPr>
          <w:sz w:val="22"/>
          <w:szCs w:val="22"/>
        </w:rPr>
        <w:br/>
      </w:r>
      <w:r>
        <w:rPr>
          <w:sz w:val="22"/>
          <w:szCs w:val="22"/>
        </w:rPr>
        <w:br/>
      </w:r>
      <w:r>
        <w:rPr>
          <w:sz w:val="22"/>
          <w:szCs w:val="22"/>
        </w:rPr>
        <w:br/>
      </w:r>
      <w:r>
        <w:rPr>
          <w:sz w:val="22"/>
          <w:szCs w:val="22"/>
        </w:rPr>
        <w:br/>
      </w:r>
      <w:r w:rsidRPr="00621D85">
        <w:rPr>
          <w:sz w:val="22"/>
          <w:szCs w:val="22"/>
        </w:rPr>
        <w:lastRenderedPageBreak/>
        <w:t xml:space="preserve">Neighborhood representatives were interested in participating in the process because it provided them with various opportunities to get input from residents about ways </w:t>
      </w:r>
      <w:r>
        <w:rPr>
          <w:sz w:val="22"/>
          <w:szCs w:val="22"/>
        </w:rPr>
        <w:t>to improve their neighborhood.</w:t>
      </w:r>
    </w:p>
    <w:p w14:paraId="120AEB2F" w14:textId="77777777" w:rsidR="00940D15" w:rsidRPr="00621D85" w:rsidRDefault="00940D15" w:rsidP="00621D85">
      <w:pPr>
        <w:jc w:val="both"/>
        <w:rPr>
          <w:sz w:val="22"/>
          <w:szCs w:val="22"/>
        </w:rPr>
      </w:pPr>
    </w:p>
    <w:p w14:paraId="47ED1BE7" w14:textId="77777777" w:rsidR="00940D15" w:rsidRPr="00FB05C6" w:rsidRDefault="00940D15" w:rsidP="00000B70">
      <w:pPr>
        <w:jc w:val="center"/>
        <w:rPr>
          <w:b/>
          <w:bCs/>
          <w:sz w:val="22"/>
          <w:szCs w:val="22"/>
        </w:rPr>
      </w:pPr>
      <w:r w:rsidRPr="00FB05C6">
        <w:rPr>
          <w:b/>
          <w:bCs/>
          <w:sz w:val="22"/>
          <w:szCs w:val="22"/>
        </w:rPr>
        <w:t>Methods</w:t>
      </w:r>
    </w:p>
    <w:p w14:paraId="6E543EBD" w14:textId="77777777" w:rsidR="00940D15" w:rsidRDefault="00940D15" w:rsidP="00621D85">
      <w:pPr>
        <w:jc w:val="both"/>
        <w:rPr>
          <w:b/>
          <w:bCs/>
          <w:sz w:val="22"/>
          <w:szCs w:val="22"/>
        </w:rPr>
      </w:pPr>
    </w:p>
    <w:p w14:paraId="30F7BFFD" w14:textId="77777777" w:rsidR="00940D15" w:rsidRPr="00FB05C6" w:rsidRDefault="00DF4D99" w:rsidP="00621D85">
      <w:pPr>
        <w:jc w:val="both"/>
        <w:rPr>
          <w:b/>
          <w:bCs/>
          <w:sz w:val="22"/>
          <w:szCs w:val="22"/>
        </w:rPr>
      </w:pPr>
      <w:r>
        <w:rPr>
          <w:b/>
          <w:bCs/>
          <w:sz w:val="22"/>
          <w:szCs w:val="22"/>
        </w:rPr>
        <w:t>Neighborhood S</w:t>
      </w:r>
      <w:r w:rsidR="00940D15" w:rsidRPr="00FB05C6">
        <w:rPr>
          <w:b/>
          <w:bCs/>
          <w:sz w:val="22"/>
          <w:szCs w:val="22"/>
        </w:rPr>
        <w:t>election</w:t>
      </w:r>
    </w:p>
    <w:p w14:paraId="2B8D12F8" w14:textId="77777777" w:rsidR="00940D15" w:rsidRDefault="00940D15" w:rsidP="00621D85">
      <w:pPr>
        <w:jc w:val="both"/>
        <w:rPr>
          <w:sz w:val="22"/>
          <w:szCs w:val="22"/>
        </w:rPr>
      </w:pPr>
      <w:r w:rsidRPr="00621D85">
        <w:rPr>
          <w:sz w:val="22"/>
          <w:szCs w:val="22"/>
        </w:rPr>
        <w:t xml:space="preserve">Pima County is diverse demographically, with a large Latino population (33.7%), and geographically, with both rural and urban areas (United States Census Bureau, 2009). In an effort to concentrate resources in areas of greatest need and health disparity, the Pima County CPPW team used Geographical Information System (GIS) </w:t>
      </w:r>
      <w:r>
        <w:rPr>
          <w:sz w:val="22"/>
          <w:szCs w:val="22"/>
        </w:rPr>
        <w:t xml:space="preserve">software </w:t>
      </w:r>
      <w:r w:rsidRPr="00621D85">
        <w:rPr>
          <w:sz w:val="22"/>
          <w:szCs w:val="22"/>
        </w:rPr>
        <w:t>mapping to identify census tracts characterized by relatively low socioeconomic status (per capita income less than $20,000) and high density of ethnic minority</w:t>
      </w:r>
      <w:r>
        <w:rPr>
          <w:sz w:val="22"/>
          <w:szCs w:val="22"/>
        </w:rPr>
        <w:t xml:space="preserve"> residents (greater that 25%). </w:t>
      </w:r>
      <w:r w:rsidRPr="00621D85">
        <w:rPr>
          <w:sz w:val="22"/>
          <w:szCs w:val="22"/>
        </w:rPr>
        <w:t>Areas with both characteristics were then drawn based on neighborhood boundaries, which varied slightly from the census tract</w:t>
      </w:r>
      <w:r>
        <w:rPr>
          <w:sz w:val="22"/>
          <w:szCs w:val="22"/>
        </w:rPr>
        <w:t xml:space="preserve">s. </w:t>
      </w:r>
      <w:r w:rsidRPr="00621D85">
        <w:rPr>
          <w:sz w:val="22"/>
          <w:szCs w:val="22"/>
        </w:rPr>
        <w:t>Additionally, the CPPW team selected areas in both urban a</w:t>
      </w:r>
      <w:r>
        <w:rPr>
          <w:sz w:val="22"/>
          <w:szCs w:val="22"/>
        </w:rPr>
        <w:t xml:space="preserve">nd rural areas of Pima County. </w:t>
      </w:r>
      <w:r w:rsidRPr="00621D85">
        <w:rPr>
          <w:sz w:val="22"/>
          <w:szCs w:val="22"/>
        </w:rPr>
        <w:t>Of those neighborhoods that fit the criteria, 15 target areas were selected based on existing relationships between CPPW partners in order to increase the potential for CPPW impact over the 2-year grant period. For the purpose of this paper, we highlight 12 areas with a large percentage of Latino residents.</w:t>
      </w:r>
    </w:p>
    <w:p w14:paraId="5E1D8790" w14:textId="77777777" w:rsidR="00940D15" w:rsidRPr="00621D85" w:rsidRDefault="00940D15" w:rsidP="00621D85">
      <w:pPr>
        <w:jc w:val="both"/>
        <w:rPr>
          <w:sz w:val="22"/>
          <w:szCs w:val="22"/>
        </w:rPr>
      </w:pPr>
    </w:p>
    <w:p w14:paraId="2DE6867D" w14:textId="77777777" w:rsidR="00940D15" w:rsidRDefault="00940D15" w:rsidP="00621D85">
      <w:pPr>
        <w:jc w:val="both"/>
        <w:rPr>
          <w:sz w:val="22"/>
          <w:szCs w:val="22"/>
        </w:rPr>
      </w:pPr>
      <w:r w:rsidRPr="00621D85">
        <w:rPr>
          <w:sz w:val="22"/>
          <w:szCs w:val="22"/>
        </w:rPr>
        <w:t>Neighborhood profiles integrated four diverse data sources: (1) secondary data; (2) observational assessments; (3) interviews with neighborhood connectors; and (4) community member surveys. Independently, each method provided useful  insight</w:t>
      </w:r>
      <w:r>
        <w:rPr>
          <w:sz w:val="22"/>
          <w:szCs w:val="22"/>
        </w:rPr>
        <w:t>s</w:t>
      </w:r>
      <w:r w:rsidRPr="00621D85">
        <w:rPr>
          <w:sz w:val="22"/>
          <w:szCs w:val="22"/>
        </w:rPr>
        <w:t xml:space="preserve"> into </w:t>
      </w:r>
      <w:r>
        <w:rPr>
          <w:sz w:val="22"/>
          <w:szCs w:val="22"/>
        </w:rPr>
        <w:t xml:space="preserve">different </w:t>
      </w:r>
      <w:r w:rsidRPr="00621D85">
        <w:rPr>
          <w:sz w:val="22"/>
          <w:szCs w:val="22"/>
        </w:rPr>
        <w:t xml:space="preserve">aspects of the community environment. Woven together in a unified profile document, they comprised a comprehensive snapshot of the physical activity and nutrition environments of the neighborhood. Table 1 lists the four data collection methods, existing data collection instruments or sources utilized, and the information </w:t>
      </w:r>
      <w:r>
        <w:rPr>
          <w:sz w:val="22"/>
          <w:szCs w:val="22"/>
        </w:rPr>
        <w:t>collected through each method.</w:t>
      </w:r>
    </w:p>
    <w:p w14:paraId="7FC247D1" w14:textId="77777777" w:rsidR="00940D15" w:rsidRPr="00621D85" w:rsidRDefault="00940D15" w:rsidP="00621D85">
      <w:pPr>
        <w:jc w:val="both"/>
        <w:rPr>
          <w:sz w:val="22"/>
          <w:szCs w:val="22"/>
        </w:rPr>
      </w:pPr>
    </w:p>
    <w:p w14:paraId="5B4A1808" w14:textId="77777777" w:rsidR="00940D15" w:rsidRPr="004A3363" w:rsidRDefault="00940D15" w:rsidP="00621D85">
      <w:pPr>
        <w:jc w:val="both"/>
        <w:rPr>
          <w:b/>
          <w:bCs/>
          <w:sz w:val="22"/>
          <w:szCs w:val="22"/>
        </w:rPr>
      </w:pPr>
      <w:r w:rsidRPr="004A3363">
        <w:rPr>
          <w:b/>
          <w:bCs/>
          <w:sz w:val="22"/>
          <w:szCs w:val="22"/>
        </w:rPr>
        <w:t xml:space="preserve">Secondary Data </w:t>
      </w:r>
    </w:p>
    <w:p w14:paraId="4488D587" w14:textId="77777777" w:rsidR="00940D15" w:rsidRDefault="00940D15" w:rsidP="00621D85">
      <w:pPr>
        <w:jc w:val="both"/>
        <w:rPr>
          <w:sz w:val="22"/>
          <w:szCs w:val="22"/>
        </w:rPr>
      </w:pPr>
      <w:r w:rsidRPr="00621D85">
        <w:rPr>
          <w:sz w:val="22"/>
          <w:szCs w:val="22"/>
        </w:rPr>
        <w:t xml:space="preserve">Profiles were structured to describe both the community environment and the people residing </w:t>
      </w:r>
      <w:r w:rsidRPr="00621D85">
        <w:rPr>
          <w:sz w:val="22"/>
          <w:szCs w:val="22"/>
        </w:rPr>
        <w:lastRenderedPageBreak/>
        <w:t>within it. As shown in Table 1, census data was used to describe the geopolitical features, population characteristics, and neighborhood characteristics such as house ownership and vacancy. Stress indicators such as crime and poverty were also included (United States Census Bureau, 2009). Online mapping tools identified community resources.  Schools within or just beyond the community boundaries were identified. Maps of recreational facilities and transportatio</w:t>
      </w:r>
      <w:r>
        <w:rPr>
          <w:sz w:val="22"/>
          <w:szCs w:val="22"/>
        </w:rPr>
        <w:t>n infrastructure were included.</w:t>
      </w:r>
    </w:p>
    <w:p w14:paraId="50748817" w14:textId="77777777" w:rsidR="00940D15" w:rsidRPr="00621D85" w:rsidRDefault="00940D15" w:rsidP="00621D85">
      <w:pPr>
        <w:jc w:val="both"/>
        <w:rPr>
          <w:sz w:val="22"/>
          <w:szCs w:val="22"/>
        </w:rPr>
      </w:pPr>
    </w:p>
    <w:p w14:paraId="2195B159" w14:textId="77777777" w:rsidR="00940D15" w:rsidRPr="004A3363" w:rsidRDefault="00940D15" w:rsidP="00621D85">
      <w:pPr>
        <w:jc w:val="both"/>
        <w:rPr>
          <w:b/>
          <w:bCs/>
          <w:sz w:val="22"/>
          <w:szCs w:val="22"/>
        </w:rPr>
      </w:pPr>
      <w:r w:rsidRPr="004A3363">
        <w:rPr>
          <w:b/>
          <w:bCs/>
          <w:sz w:val="22"/>
          <w:szCs w:val="22"/>
        </w:rPr>
        <w:t>Observational Assessments</w:t>
      </w:r>
    </w:p>
    <w:p w14:paraId="06C178C1" w14:textId="77777777" w:rsidR="00940D15" w:rsidRDefault="00940D15" w:rsidP="00621D85">
      <w:pPr>
        <w:jc w:val="both"/>
        <w:rPr>
          <w:sz w:val="22"/>
          <w:szCs w:val="22"/>
        </w:rPr>
      </w:pPr>
      <w:r w:rsidRPr="00621D85">
        <w:rPr>
          <w:sz w:val="22"/>
          <w:szCs w:val="22"/>
        </w:rPr>
        <w:t>The observational assessment provided context for the secondary data. The tool itself was constructed from selected portions of existing environmental assessments (Brownson tool, Physical Activity Resource Assessment (PARA), Community Health Index (CHLI) and the Americans with Disabilities Act (ADA) Bus Stop Accessibility Study) that collectively sought to describe neighborhood conditions, resources, transportation routes, food and recreational facilities, as described in Table 1 (Ki</w:t>
      </w:r>
      <w:r>
        <w:rPr>
          <w:sz w:val="22"/>
          <w:szCs w:val="22"/>
        </w:rPr>
        <w:t xml:space="preserve">m et al., 2010; </w:t>
      </w:r>
      <w:r w:rsidRPr="00621D85">
        <w:rPr>
          <w:sz w:val="22"/>
          <w:szCs w:val="22"/>
        </w:rPr>
        <w:t xml:space="preserve">Brownson, Hoehner, Day, Forsyth, &amp; Sallis, 2009; </w:t>
      </w:r>
      <w:r>
        <w:rPr>
          <w:sz w:val="22"/>
          <w:szCs w:val="22"/>
        </w:rPr>
        <w:t xml:space="preserve">Mueller, 2009; </w:t>
      </w:r>
      <w:r w:rsidRPr="00621D85">
        <w:rPr>
          <w:sz w:val="22"/>
          <w:szCs w:val="22"/>
        </w:rPr>
        <w:t>Lee, Booth, Reese-Smith, Regan, &amp; Howard, 2005;</w:t>
      </w:r>
      <w:r>
        <w:rPr>
          <w:sz w:val="22"/>
          <w:szCs w:val="22"/>
        </w:rPr>
        <w:t xml:space="preserve"> Brownson et al., 2004)</w:t>
      </w:r>
    </w:p>
    <w:p w14:paraId="47423A49" w14:textId="77777777" w:rsidR="00940D15" w:rsidRPr="00621D85" w:rsidRDefault="00940D15" w:rsidP="00621D85">
      <w:pPr>
        <w:jc w:val="both"/>
        <w:rPr>
          <w:sz w:val="22"/>
          <w:szCs w:val="22"/>
        </w:rPr>
      </w:pPr>
    </w:p>
    <w:p w14:paraId="52C2E8DF" w14:textId="77777777" w:rsidR="00940D15" w:rsidRDefault="00940D15" w:rsidP="00621D85">
      <w:pPr>
        <w:jc w:val="both"/>
        <w:rPr>
          <w:sz w:val="22"/>
          <w:szCs w:val="22"/>
        </w:rPr>
        <w:sectPr w:rsidR="00940D15" w:rsidSect="00621D85">
          <w:type w:val="continuous"/>
          <w:pgSz w:w="12240" w:h="15840"/>
          <w:pgMar w:top="1440" w:right="1440" w:bottom="1440" w:left="1440" w:header="720" w:footer="720" w:gutter="0"/>
          <w:cols w:num="2" w:space="720"/>
          <w:docGrid w:linePitch="360"/>
        </w:sectPr>
      </w:pPr>
      <w:r w:rsidRPr="00621D85">
        <w:rPr>
          <w:sz w:val="22"/>
          <w:szCs w:val="22"/>
        </w:rPr>
        <w:t>The observational assessment was conducted by driving and walking throughout each neighborhood, stopping to assess each observed recreati</w:t>
      </w:r>
      <w:r>
        <w:rPr>
          <w:sz w:val="22"/>
          <w:szCs w:val="22"/>
        </w:rPr>
        <w:t xml:space="preserve">onal facility and food vendor. </w:t>
      </w:r>
      <w:r w:rsidRPr="00621D85">
        <w:rPr>
          <w:sz w:val="22"/>
          <w:szCs w:val="22"/>
        </w:rPr>
        <w:t>In order to efficiently collect the data, teams of two carried one main observational assessment form, multiple food vendor and recreational facility assessment forms, and one printed map marking</w:t>
      </w:r>
      <w:r>
        <w:rPr>
          <w:sz w:val="22"/>
          <w:szCs w:val="22"/>
        </w:rPr>
        <w:t xml:space="preserve"> the area’s schools and parks. </w:t>
      </w:r>
      <w:r w:rsidRPr="00621D85">
        <w:rPr>
          <w:sz w:val="22"/>
          <w:szCs w:val="22"/>
        </w:rPr>
        <w:t xml:space="preserve">Evaluators first walked or drove the perimeter of the neighborhood boundary, then systematically through each street, working together to capture an inventory of the perimeter’s commercial and public destinations. Food vendors, recreational sites and other features that were located across the boundary street, but were within a half-mile were not included in order to maintain a consistent methodology across profiles. Upon completing the perimeter assessment, the evaluators entered observable food establishments and recreational facilities together dividing the tasks of photographing and </w:t>
      </w:r>
      <w:r w:rsidRPr="00621D85">
        <w:rPr>
          <w:sz w:val="22"/>
          <w:szCs w:val="22"/>
        </w:rPr>
        <w:lastRenderedPageBreak/>
        <w:t xml:space="preserve">completing the food vendor and recreational facility assessment forms. Photographic observations included neighborhood conditions </w:t>
      </w:r>
      <w:r w:rsidRPr="00621D85">
        <w:rPr>
          <w:sz w:val="22"/>
          <w:szCs w:val="22"/>
        </w:rPr>
        <w:lastRenderedPageBreak/>
        <w:t>and attributes, elements that captured cultural characteristics of the neighborhood (religious shrines in front-yards and community artwork),</w:t>
      </w:r>
      <w:r>
        <w:rPr>
          <w:sz w:val="22"/>
          <w:szCs w:val="22"/>
        </w:rPr>
        <w:br/>
      </w:r>
    </w:p>
    <w:p w14:paraId="1A6C9180" w14:textId="77777777" w:rsidR="00940D15" w:rsidRDefault="00940D15" w:rsidP="00795601">
      <w:pPr>
        <w:jc w:val="center"/>
        <w:rPr>
          <w:b/>
          <w:bCs/>
          <w:sz w:val="22"/>
          <w:szCs w:val="22"/>
        </w:rPr>
      </w:pPr>
    </w:p>
    <w:p w14:paraId="521690D9" w14:textId="77777777" w:rsidR="00940D15" w:rsidRDefault="00940D15" w:rsidP="00795601">
      <w:pPr>
        <w:jc w:val="center"/>
        <w:rPr>
          <w:b/>
          <w:bCs/>
          <w:sz w:val="22"/>
          <w:szCs w:val="22"/>
        </w:rPr>
        <w:sectPr w:rsidR="00940D15" w:rsidSect="00000B70">
          <w:type w:val="continuous"/>
          <w:pgSz w:w="12240" w:h="15840"/>
          <w:pgMar w:top="1440" w:right="1440" w:bottom="1440" w:left="1440" w:header="720" w:footer="720" w:gutter="0"/>
          <w:cols w:space="720"/>
          <w:docGrid w:linePitch="360"/>
        </w:sectPr>
      </w:pPr>
    </w:p>
    <w:p w14:paraId="46BFBB42" w14:textId="77777777" w:rsidR="00940D15" w:rsidRDefault="00940D15" w:rsidP="00795601">
      <w:pPr>
        <w:jc w:val="center"/>
        <w:rPr>
          <w:b/>
          <w:bCs/>
          <w:sz w:val="22"/>
          <w:szCs w:val="22"/>
        </w:rPr>
      </w:pPr>
    </w:p>
    <w:p w14:paraId="447FB86E" w14:textId="77777777" w:rsidR="00940D15" w:rsidRPr="00795601" w:rsidRDefault="00940D15" w:rsidP="00795601">
      <w:pPr>
        <w:jc w:val="center"/>
        <w:rPr>
          <w:b/>
          <w:bCs/>
          <w:sz w:val="22"/>
          <w:szCs w:val="22"/>
        </w:rPr>
      </w:pPr>
      <w:r w:rsidRPr="00795601">
        <w:rPr>
          <w:b/>
          <w:bCs/>
          <w:sz w:val="22"/>
          <w:szCs w:val="22"/>
        </w:rPr>
        <w:t>Table 1</w:t>
      </w:r>
    </w:p>
    <w:p w14:paraId="72D32B8D" w14:textId="77777777" w:rsidR="00940D15" w:rsidRPr="00795601" w:rsidRDefault="00940D15" w:rsidP="00795601">
      <w:pPr>
        <w:jc w:val="center"/>
        <w:rPr>
          <w:b/>
          <w:bCs/>
          <w:sz w:val="22"/>
          <w:szCs w:val="22"/>
        </w:rPr>
      </w:pPr>
    </w:p>
    <w:p w14:paraId="2A3AA707" w14:textId="77777777" w:rsidR="00940D15" w:rsidRPr="00795601" w:rsidRDefault="00940D15" w:rsidP="00795601">
      <w:pPr>
        <w:jc w:val="center"/>
        <w:rPr>
          <w:b/>
          <w:bCs/>
          <w:sz w:val="22"/>
          <w:szCs w:val="22"/>
        </w:rPr>
      </w:pPr>
      <w:r w:rsidRPr="00795601">
        <w:rPr>
          <w:b/>
          <w:bCs/>
          <w:sz w:val="22"/>
          <w:szCs w:val="22"/>
        </w:rPr>
        <w:t>Neighborhood Profile Data Sources</w:t>
      </w:r>
    </w:p>
    <w:tbl>
      <w:tblPr>
        <w:tblW w:w="0" w:type="auto"/>
        <w:tblInd w:w="-106" w:type="dxa"/>
        <w:tblBorders>
          <w:top w:val="single" w:sz="4" w:space="0" w:color="auto"/>
          <w:bottom w:val="single" w:sz="4" w:space="0" w:color="auto"/>
          <w:insideH w:val="single" w:sz="4" w:space="0" w:color="auto"/>
        </w:tblBorders>
        <w:tblLook w:val="00A0" w:firstRow="1" w:lastRow="0" w:firstColumn="1" w:lastColumn="0" w:noHBand="0" w:noVBand="0"/>
      </w:tblPr>
      <w:tblGrid>
        <w:gridCol w:w="5238"/>
        <w:gridCol w:w="270"/>
        <w:gridCol w:w="4068"/>
      </w:tblGrid>
      <w:tr w:rsidR="00940D15" w:rsidRPr="00000B70" w14:paraId="72DA1098" w14:textId="77777777">
        <w:trPr>
          <w:trHeight w:val="440"/>
        </w:trPr>
        <w:tc>
          <w:tcPr>
            <w:tcW w:w="5238" w:type="dxa"/>
            <w:tcBorders>
              <w:top w:val="single" w:sz="8" w:space="0" w:color="auto"/>
            </w:tcBorders>
            <w:vAlign w:val="center"/>
          </w:tcPr>
          <w:p w14:paraId="2726731D" w14:textId="77777777" w:rsidR="00940D15" w:rsidRPr="004067DA" w:rsidRDefault="00940D15" w:rsidP="00795601">
            <w:pPr>
              <w:rPr>
                <w:b/>
                <w:bCs/>
              </w:rPr>
            </w:pPr>
            <w:r w:rsidRPr="004067DA">
              <w:rPr>
                <w:b/>
                <w:bCs/>
                <w:sz w:val="22"/>
                <w:szCs w:val="22"/>
              </w:rPr>
              <w:t>Methodology and Data Collected</w:t>
            </w:r>
          </w:p>
        </w:tc>
        <w:tc>
          <w:tcPr>
            <w:tcW w:w="270" w:type="dxa"/>
            <w:tcBorders>
              <w:top w:val="single" w:sz="8" w:space="0" w:color="auto"/>
            </w:tcBorders>
            <w:vAlign w:val="center"/>
          </w:tcPr>
          <w:p w14:paraId="091AE286" w14:textId="77777777" w:rsidR="00940D15" w:rsidRPr="004067DA" w:rsidRDefault="00940D15" w:rsidP="004067DA">
            <w:pPr>
              <w:jc w:val="center"/>
              <w:rPr>
                <w:b/>
                <w:bCs/>
              </w:rPr>
            </w:pPr>
          </w:p>
        </w:tc>
        <w:tc>
          <w:tcPr>
            <w:tcW w:w="4068" w:type="dxa"/>
            <w:tcBorders>
              <w:top w:val="single" w:sz="8" w:space="0" w:color="auto"/>
            </w:tcBorders>
            <w:vAlign w:val="center"/>
          </w:tcPr>
          <w:p w14:paraId="6770F0FD" w14:textId="77777777" w:rsidR="00940D15" w:rsidRPr="004067DA" w:rsidRDefault="00940D15" w:rsidP="00795601">
            <w:pPr>
              <w:rPr>
                <w:b/>
                <w:bCs/>
              </w:rPr>
            </w:pPr>
            <w:r w:rsidRPr="004067DA">
              <w:rPr>
                <w:b/>
                <w:bCs/>
                <w:sz w:val="22"/>
                <w:szCs w:val="22"/>
              </w:rPr>
              <w:t>Data Collection Tools</w:t>
            </w:r>
          </w:p>
        </w:tc>
      </w:tr>
      <w:tr w:rsidR="00940D15" w:rsidRPr="00000B70" w14:paraId="59AED213" w14:textId="77777777">
        <w:trPr>
          <w:trHeight w:val="2762"/>
        </w:trPr>
        <w:tc>
          <w:tcPr>
            <w:tcW w:w="5238" w:type="dxa"/>
          </w:tcPr>
          <w:p w14:paraId="32BB8CA2" w14:textId="77777777" w:rsidR="00940D15" w:rsidRPr="005A6D84" w:rsidRDefault="00940D15" w:rsidP="00795601">
            <w:r w:rsidRPr="005A6D84">
              <w:rPr>
                <w:sz w:val="22"/>
                <w:szCs w:val="22"/>
              </w:rPr>
              <w:t>1. Secondary data</w:t>
            </w:r>
          </w:p>
          <w:p w14:paraId="600EEE9A"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Geographic boundaries &amp; neighborhood characteristics</w:t>
            </w:r>
          </w:p>
          <w:p w14:paraId="37E47C49"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Population Characteristics</w:t>
            </w:r>
          </w:p>
          <w:p w14:paraId="5380DD67"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Health Indicators</w:t>
            </w:r>
          </w:p>
          <w:p w14:paraId="11BA8CF1"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Stress indicators (i.e. crime)</w:t>
            </w:r>
          </w:p>
          <w:p w14:paraId="3CBDA8D5"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Community resources (schools, community &amp; faith-based, health &amp; human service providers)</w:t>
            </w:r>
          </w:p>
          <w:p w14:paraId="5302BE75"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Recreation infrastructure</w:t>
            </w:r>
          </w:p>
          <w:p w14:paraId="2B51687F"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Food Infrastructure  Groceries &amp;famer’s markets)</w:t>
            </w:r>
          </w:p>
          <w:p w14:paraId="6D228961" w14:textId="77777777" w:rsidR="00940D15" w:rsidRPr="005A6D84" w:rsidRDefault="00940D15" w:rsidP="004067DA">
            <w:pPr>
              <w:pStyle w:val="ListParagraph"/>
              <w:numPr>
                <w:ilvl w:val="0"/>
                <w:numId w:val="1"/>
              </w:numPr>
              <w:rPr>
                <w:rFonts w:ascii="Times New Roman" w:hAnsi="Times New Roman" w:cs="Times New Roman"/>
              </w:rPr>
            </w:pPr>
            <w:r w:rsidRPr="005A6D84">
              <w:rPr>
                <w:rFonts w:ascii="Times New Roman" w:hAnsi="Times New Roman" w:cs="Times New Roman"/>
                <w:sz w:val="22"/>
                <w:szCs w:val="22"/>
              </w:rPr>
              <w:t>Transportation infrastructure (bus, bike routes)</w:t>
            </w:r>
          </w:p>
        </w:tc>
        <w:tc>
          <w:tcPr>
            <w:tcW w:w="270" w:type="dxa"/>
          </w:tcPr>
          <w:p w14:paraId="60FD45BF" w14:textId="77777777" w:rsidR="00940D15" w:rsidRPr="005A6D84" w:rsidRDefault="00940D15" w:rsidP="00795601"/>
        </w:tc>
        <w:tc>
          <w:tcPr>
            <w:tcW w:w="4068" w:type="dxa"/>
          </w:tcPr>
          <w:p w14:paraId="6F69A5CC" w14:textId="77777777" w:rsidR="00940D15" w:rsidRPr="005A6D84" w:rsidRDefault="00940D15" w:rsidP="00795601"/>
          <w:p w14:paraId="430A7526"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U.S. Census</w:t>
            </w:r>
          </w:p>
          <w:p w14:paraId="033D1E55"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 xml:space="preserve">U.S. Census </w:t>
            </w:r>
          </w:p>
          <w:p w14:paraId="5AC14917"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 xml:space="preserve">U.S. Census </w:t>
            </w:r>
          </w:p>
          <w:p w14:paraId="441DE9A0"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 xml:space="preserve">U.S. Census </w:t>
            </w:r>
          </w:p>
          <w:p w14:paraId="4A9869AE"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Online Mapping Tools (Google Maps, Walk Score, Map quest</w:t>
            </w:r>
          </w:p>
          <w:p w14:paraId="541B07C9"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Online Resources</w:t>
            </w:r>
          </w:p>
          <w:p w14:paraId="2C06801D"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Online Resources</w:t>
            </w:r>
          </w:p>
          <w:p w14:paraId="106DA710" w14:textId="77777777" w:rsidR="00940D15" w:rsidRPr="005A6D84" w:rsidRDefault="00940D15" w:rsidP="004067DA">
            <w:pPr>
              <w:pStyle w:val="ListParagraph"/>
              <w:numPr>
                <w:ilvl w:val="0"/>
                <w:numId w:val="5"/>
              </w:numPr>
              <w:ind w:left="342"/>
              <w:rPr>
                <w:rFonts w:ascii="Times New Roman" w:hAnsi="Times New Roman" w:cs="Times New Roman"/>
              </w:rPr>
            </w:pPr>
            <w:r w:rsidRPr="005A6D84">
              <w:rPr>
                <w:rFonts w:ascii="Times New Roman" w:hAnsi="Times New Roman" w:cs="Times New Roman"/>
                <w:sz w:val="22"/>
                <w:szCs w:val="22"/>
              </w:rPr>
              <w:t>Regional Transit Provider, City of Tucson Bicycle Advisory Committee</w:t>
            </w:r>
          </w:p>
        </w:tc>
      </w:tr>
      <w:tr w:rsidR="00940D15" w:rsidRPr="00000B70" w14:paraId="052B604B" w14:textId="77777777">
        <w:trPr>
          <w:trHeight w:val="2783"/>
        </w:trPr>
        <w:tc>
          <w:tcPr>
            <w:tcW w:w="5238" w:type="dxa"/>
          </w:tcPr>
          <w:p w14:paraId="22BE04C3" w14:textId="77777777" w:rsidR="00940D15" w:rsidRPr="005A6D84" w:rsidRDefault="00940D15" w:rsidP="00795601">
            <w:r w:rsidRPr="005A6D84">
              <w:rPr>
                <w:sz w:val="22"/>
                <w:szCs w:val="22"/>
              </w:rPr>
              <w:t>2. Observational Tool</w:t>
            </w:r>
          </w:p>
          <w:p w14:paraId="6EC968DB" w14:textId="77777777" w:rsidR="00940D15" w:rsidRPr="005A6D84" w:rsidRDefault="00940D15" w:rsidP="004067DA">
            <w:pPr>
              <w:pStyle w:val="ListParagraph"/>
              <w:numPr>
                <w:ilvl w:val="0"/>
                <w:numId w:val="2"/>
              </w:numPr>
              <w:rPr>
                <w:rFonts w:ascii="Times New Roman" w:hAnsi="Times New Roman" w:cs="Times New Roman"/>
              </w:rPr>
            </w:pPr>
            <w:r w:rsidRPr="005A6D84">
              <w:rPr>
                <w:rFonts w:ascii="Times New Roman" w:hAnsi="Times New Roman" w:cs="Times New Roman"/>
                <w:sz w:val="22"/>
                <w:szCs w:val="22"/>
              </w:rPr>
              <w:t>Commercial public and residential locations</w:t>
            </w:r>
          </w:p>
          <w:p w14:paraId="3FC8865B" w14:textId="77777777" w:rsidR="00940D15" w:rsidRPr="005A6D84" w:rsidRDefault="00940D15" w:rsidP="004067DA">
            <w:pPr>
              <w:pStyle w:val="ListParagraph"/>
              <w:numPr>
                <w:ilvl w:val="0"/>
                <w:numId w:val="2"/>
              </w:numPr>
              <w:rPr>
                <w:rFonts w:ascii="Times New Roman" w:hAnsi="Times New Roman" w:cs="Times New Roman"/>
              </w:rPr>
            </w:pPr>
            <w:r w:rsidRPr="005A6D84">
              <w:rPr>
                <w:rFonts w:ascii="Times New Roman" w:hAnsi="Times New Roman" w:cs="Times New Roman"/>
                <w:sz w:val="22"/>
                <w:szCs w:val="22"/>
              </w:rPr>
              <w:t>Neighborhood infrastructure &amp; conditions (sidewalks, lighting, graffiti, signage)</w:t>
            </w:r>
          </w:p>
          <w:p w14:paraId="0AD72103" w14:textId="77777777" w:rsidR="00940D15" w:rsidRPr="005A6D84" w:rsidRDefault="00940D15" w:rsidP="004067DA">
            <w:pPr>
              <w:pStyle w:val="ListParagraph"/>
              <w:numPr>
                <w:ilvl w:val="0"/>
                <w:numId w:val="2"/>
              </w:numPr>
              <w:rPr>
                <w:rFonts w:ascii="Times New Roman" w:hAnsi="Times New Roman" w:cs="Times New Roman"/>
              </w:rPr>
            </w:pPr>
            <w:r w:rsidRPr="005A6D84">
              <w:rPr>
                <w:rFonts w:ascii="Times New Roman" w:hAnsi="Times New Roman" w:cs="Times New Roman"/>
                <w:sz w:val="22"/>
                <w:szCs w:val="22"/>
              </w:rPr>
              <w:t>Recreational facilities (parks community centers, places of worship schools)</w:t>
            </w:r>
          </w:p>
          <w:p w14:paraId="7A1A1C4B" w14:textId="77777777" w:rsidR="00940D15" w:rsidRPr="005A6D84" w:rsidRDefault="00940D15" w:rsidP="004067DA">
            <w:pPr>
              <w:pStyle w:val="ListParagraph"/>
              <w:numPr>
                <w:ilvl w:val="0"/>
                <w:numId w:val="2"/>
              </w:numPr>
              <w:rPr>
                <w:rFonts w:ascii="Times New Roman" w:hAnsi="Times New Roman" w:cs="Times New Roman"/>
              </w:rPr>
            </w:pPr>
            <w:r w:rsidRPr="005A6D84">
              <w:rPr>
                <w:rFonts w:ascii="Times New Roman" w:hAnsi="Times New Roman" w:cs="Times New Roman"/>
                <w:sz w:val="22"/>
                <w:szCs w:val="22"/>
              </w:rPr>
              <w:t>Food vendor (visibility, frequency, variety and quality of fruits and vegetables, low-fat, whole grain and low-sugar products</w:t>
            </w:r>
          </w:p>
          <w:p w14:paraId="56BC6FE4" w14:textId="77777777" w:rsidR="00940D15" w:rsidRPr="005A6D84" w:rsidRDefault="00940D15" w:rsidP="004067DA">
            <w:pPr>
              <w:pStyle w:val="ListParagraph"/>
              <w:numPr>
                <w:ilvl w:val="0"/>
                <w:numId w:val="2"/>
              </w:numPr>
              <w:rPr>
                <w:rFonts w:ascii="Times New Roman" w:hAnsi="Times New Roman" w:cs="Times New Roman"/>
              </w:rPr>
            </w:pPr>
            <w:r w:rsidRPr="005A6D84">
              <w:rPr>
                <w:rFonts w:ascii="Times New Roman" w:hAnsi="Times New Roman" w:cs="Times New Roman"/>
                <w:sz w:val="22"/>
                <w:szCs w:val="22"/>
              </w:rPr>
              <w:t>Active transportation (Bus stops, walking and bike paths, road condition)</w:t>
            </w:r>
          </w:p>
        </w:tc>
        <w:tc>
          <w:tcPr>
            <w:tcW w:w="270" w:type="dxa"/>
          </w:tcPr>
          <w:p w14:paraId="161D6768" w14:textId="77777777" w:rsidR="00940D15" w:rsidRPr="005A6D84" w:rsidRDefault="00940D15" w:rsidP="00795601"/>
        </w:tc>
        <w:tc>
          <w:tcPr>
            <w:tcW w:w="4068" w:type="dxa"/>
          </w:tcPr>
          <w:p w14:paraId="0114B1A3" w14:textId="77777777" w:rsidR="00940D15" w:rsidRPr="005A6D84" w:rsidRDefault="00940D15" w:rsidP="00795601"/>
          <w:p w14:paraId="11EF7E2E" w14:textId="77777777" w:rsidR="00940D15" w:rsidRPr="005A6D84" w:rsidRDefault="00940D15" w:rsidP="004067DA">
            <w:pPr>
              <w:pStyle w:val="ListParagraph"/>
              <w:numPr>
                <w:ilvl w:val="0"/>
                <w:numId w:val="6"/>
              </w:numPr>
              <w:ind w:left="342"/>
              <w:rPr>
                <w:rFonts w:ascii="Times New Roman" w:hAnsi="Times New Roman" w:cs="Times New Roman"/>
              </w:rPr>
            </w:pPr>
            <w:r w:rsidRPr="005A6D84">
              <w:rPr>
                <w:rFonts w:ascii="Times New Roman" w:hAnsi="Times New Roman" w:cs="Times New Roman"/>
                <w:sz w:val="22"/>
                <w:szCs w:val="22"/>
              </w:rPr>
              <w:t>Brownson Tool</w:t>
            </w:r>
          </w:p>
          <w:p w14:paraId="2BC85486" w14:textId="77777777" w:rsidR="00940D15" w:rsidRPr="005A6D84" w:rsidRDefault="00940D15" w:rsidP="004067DA">
            <w:pPr>
              <w:pStyle w:val="ListParagraph"/>
              <w:numPr>
                <w:ilvl w:val="0"/>
                <w:numId w:val="6"/>
              </w:numPr>
              <w:ind w:left="342"/>
              <w:rPr>
                <w:rFonts w:ascii="Times New Roman" w:hAnsi="Times New Roman" w:cs="Times New Roman"/>
              </w:rPr>
            </w:pPr>
            <w:r w:rsidRPr="005A6D84">
              <w:rPr>
                <w:rFonts w:ascii="Times New Roman" w:hAnsi="Times New Roman" w:cs="Times New Roman"/>
                <w:sz w:val="22"/>
                <w:szCs w:val="22"/>
              </w:rPr>
              <w:t>Brownson Tool; Physical Activity Resource Assessment (PARA)</w:t>
            </w:r>
          </w:p>
          <w:p w14:paraId="3F5F654B" w14:textId="77777777" w:rsidR="00940D15" w:rsidRPr="005A6D84" w:rsidRDefault="00940D15" w:rsidP="004067DA">
            <w:pPr>
              <w:pStyle w:val="ListParagraph"/>
              <w:numPr>
                <w:ilvl w:val="0"/>
                <w:numId w:val="6"/>
              </w:numPr>
              <w:ind w:left="342"/>
              <w:rPr>
                <w:rFonts w:ascii="Times New Roman" w:hAnsi="Times New Roman" w:cs="Times New Roman"/>
              </w:rPr>
            </w:pPr>
            <w:r w:rsidRPr="005A6D84">
              <w:rPr>
                <w:rFonts w:ascii="Times New Roman" w:hAnsi="Times New Roman" w:cs="Times New Roman"/>
                <w:sz w:val="22"/>
                <w:szCs w:val="22"/>
              </w:rPr>
              <w:t>PARA</w:t>
            </w:r>
          </w:p>
          <w:p w14:paraId="49BDD0D0" w14:textId="77777777" w:rsidR="00940D15" w:rsidRPr="005A6D84" w:rsidRDefault="00940D15" w:rsidP="004067DA">
            <w:pPr>
              <w:pStyle w:val="ListParagraph"/>
              <w:ind w:left="342"/>
              <w:rPr>
                <w:rFonts w:ascii="Times New Roman" w:hAnsi="Times New Roman" w:cs="Times New Roman"/>
              </w:rPr>
            </w:pPr>
          </w:p>
          <w:p w14:paraId="1200A690" w14:textId="77777777" w:rsidR="00940D15" w:rsidRPr="005A6D84" w:rsidRDefault="00940D15" w:rsidP="004067DA">
            <w:pPr>
              <w:pStyle w:val="ListParagraph"/>
              <w:numPr>
                <w:ilvl w:val="0"/>
                <w:numId w:val="6"/>
              </w:numPr>
              <w:ind w:left="342"/>
              <w:rPr>
                <w:rFonts w:ascii="Times New Roman" w:hAnsi="Times New Roman" w:cs="Times New Roman"/>
              </w:rPr>
            </w:pPr>
            <w:r w:rsidRPr="005A6D84">
              <w:rPr>
                <w:rFonts w:ascii="Times New Roman" w:hAnsi="Times New Roman" w:cs="Times New Roman"/>
                <w:sz w:val="22"/>
                <w:szCs w:val="22"/>
              </w:rPr>
              <w:t>Community Health Index (CHLI)</w:t>
            </w:r>
          </w:p>
          <w:p w14:paraId="3E02A47A" w14:textId="77777777" w:rsidR="00940D15" w:rsidRPr="005A6D84" w:rsidRDefault="00940D15" w:rsidP="00795601">
            <w:pPr>
              <w:pStyle w:val="ListParagraph"/>
              <w:rPr>
                <w:rFonts w:ascii="Times New Roman" w:hAnsi="Times New Roman" w:cs="Times New Roman"/>
              </w:rPr>
            </w:pPr>
          </w:p>
          <w:p w14:paraId="066C9EB6" w14:textId="77777777" w:rsidR="00940D15" w:rsidRPr="005A6D84" w:rsidRDefault="00940D15" w:rsidP="00795601">
            <w:pPr>
              <w:pStyle w:val="ListParagraph"/>
              <w:rPr>
                <w:rFonts w:ascii="Times New Roman" w:hAnsi="Times New Roman" w:cs="Times New Roman"/>
              </w:rPr>
            </w:pPr>
          </w:p>
          <w:p w14:paraId="10115D0C" w14:textId="77777777" w:rsidR="00940D15" w:rsidRPr="005A6D84" w:rsidRDefault="00940D15" w:rsidP="004067DA">
            <w:pPr>
              <w:pStyle w:val="ListParagraph"/>
              <w:numPr>
                <w:ilvl w:val="0"/>
                <w:numId w:val="6"/>
              </w:numPr>
              <w:ind w:left="342"/>
              <w:rPr>
                <w:rFonts w:ascii="Times New Roman" w:hAnsi="Times New Roman" w:cs="Times New Roman"/>
              </w:rPr>
            </w:pPr>
            <w:r w:rsidRPr="005A6D84">
              <w:rPr>
                <w:rFonts w:ascii="Times New Roman" w:hAnsi="Times New Roman" w:cs="Times New Roman"/>
                <w:sz w:val="22"/>
                <w:szCs w:val="22"/>
              </w:rPr>
              <w:t xml:space="preserve">Brownson tool, Americans with Disability Act Bus Stop Accessibility Study </w:t>
            </w:r>
          </w:p>
        </w:tc>
      </w:tr>
      <w:tr w:rsidR="00940D15" w:rsidRPr="00000B70" w14:paraId="38C6096F" w14:textId="77777777">
        <w:trPr>
          <w:trHeight w:val="1266"/>
        </w:trPr>
        <w:tc>
          <w:tcPr>
            <w:tcW w:w="5238" w:type="dxa"/>
          </w:tcPr>
          <w:p w14:paraId="6C19C2EF" w14:textId="77777777" w:rsidR="00940D15" w:rsidRPr="005A6D84" w:rsidRDefault="00940D15" w:rsidP="00795601">
            <w:r w:rsidRPr="005A6D84">
              <w:rPr>
                <w:sz w:val="22"/>
                <w:szCs w:val="22"/>
              </w:rPr>
              <w:t>3. Neighborhood Connector Interview</w:t>
            </w:r>
          </w:p>
          <w:p w14:paraId="335832AD" w14:textId="77777777" w:rsidR="00940D15" w:rsidRPr="005A6D84" w:rsidRDefault="00940D15" w:rsidP="004067DA">
            <w:pPr>
              <w:pStyle w:val="ListParagraph"/>
              <w:numPr>
                <w:ilvl w:val="0"/>
                <w:numId w:val="3"/>
              </w:numPr>
              <w:rPr>
                <w:rFonts w:ascii="Times New Roman" w:hAnsi="Times New Roman" w:cs="Times New Roman"/>
              </w:rPr>
            </w:pPr>
            <w:r w:rsidRPr="005A6D84">
              <w:rPr>
                <w:rFonts w:ascii="Times New Roman" w:hAnsi="Times New Roman" w:cs="Times New Roman"/>
                <w:sz w:val="22"/>
                <w:szCs w:val="22"/>
              </w:rPr>
              <w:t>Neighborhood assets and resources</w:t>
            </w:r>
          </w:p>
          <w:p w14:paraId="599CE765" w14:textId="77777777" w:rsidR="00940D15" w:rsidRPr="005A6D84" w:rsidRDefault="00940D15" w:rsidP="004067DA">
            <w:pPr>
              <w:pStyle w:val="ListParagraph"/>
              <w:numPr>
                <w:ilvl w:val="0"/>
                <w:numId w:val="3"/>
              </w:numPr>
              <w:rPr>
                <w:rFonts w:ascii="Times New Roman" w:hAnsi="Times New Roman" w:cs="Times New Roman"/>
              </w:rPr>
            </w:pPr>
            <w:r w:rsidRPr="005A6D84">
              <w:rPr>
                <w:rFonts w:ascii="Times New Roman" w:hAnsi="Times New Roman" w:cs="Times New Roman"/>
                <w:sz w:val="22"/>
                <w:szCs w:val="22"/>
              </w:rPr>
              <w:t>Neighborhood opportunity for environmental, structural improvements</w:t>
            </w:r>
          </w:p>
          <w:p w14:paraId="7365F1A5" w14:textId="77777777" w:rsidR="00940D15" w:rsidRPr="005A6D84" w:rsidRDefault="00940D15" w:rsidP="004067DA">
            <w:pPr>
              <w:pStyle w:val="ListParagraph"/>
              <w:numPr>
                <w:ilvl w:val="0"/>
                <w:numId w:val="3"/>
              </w:numPr>
              <w:rPr>
                <w:rFonts w:ascii="Times New Roman" w:hAnsi="Times New Roman" w:cs="Times New Roman"/>
              </w:rPr>
            </w:pPr>
            <w:r w:rsidRPr="005A6D84">
              <w:rPr>
                <w:rFonts w:ascii="Times New Roman" w:hAnsi="Times New Roman" w:cs="Times New Roman"/>
                <w:sz w:val="22"/>
                <w:szCs w:val="22"/>
              </w:rPr>
              <w:t>Challenges to neighborhood development</w:t>
            </w:r>
          </w:p>
        </w:tc>
        <w:tc>
          <w:tcPr>
            <w:tcW w:w="270" w:type="dxa"/>
          </w:tcPr>
          <w:p w14:paraId="28F42C9F" w14:textId="77777777" w:rsidR="00940D15" w:rsidRPr="005A6D84" w:rsidRDefault="00940D15" w:rsidP="00795601"/>
        </w:tc>
        <w:tc>
          <w:tcPr>
            <w:tcW w:w="4068" w:type="dxa"/>
          </w:tcPr>
          <w:p w14:paraId="3A6095F8" w14:textId="77777777" w:rsidR="00940D15" w:rsidRPr="005A6D84" w:rsidRDefault="00940D15" w:rsidP="00795601"/>
          <w:p w14:paraId="26662C81" w14:textId="77777777" w:rsidR="00940D15" w:rsidRPr="005A6D84" w:rsidRDefault="00940D15" w:rsidP="00795601">
            <w:r w:rsidRPr="005A6D84">
              <w:rPr>
                <w:sz w:val="22"/>
                <w:szCs w:val="22"/>
              </w:rPr>
              <w:t>Interview Guide</w:t>
            </w:r>
          </w:p>
        </w:tc>
      </w:tr>
      <w:tr w:rsidR="00940D15" w:rsidRPr="00000B70" w14:paraId="3A28F164" w14:textId="77777777">
        <w:trPr>
          <w:trHeight w:val="1349"/>
        </w:trPr>
        <w:tc>
          <w:tcPr>
            <w:tcW w:w="5238" w:type="dxa"/>
            <w:tcBorders>
              <w:bottom w:val="single" w:sz="8" w:space="0" w:color="auto"/>
            </w:tcBorders>
          </w:tcPr>
          <w:p w14:paraId="2064C67C" w14:textId="77777777" w:rsidR="00940D15" w:rsidRPr="005A6D84" w:rsidRDefault="00940D15" w:rsidP="00795601">
            <w:r w:rsidRPr="005A6D84">
              <w:rPr>
                <w:sz w:val="22"/>
                <w:szCs w:val="22"/>
              </w:rPr>
              <w:t>4. Neighborhood Survey</w:t>
            </w:r>
          </w:p>
          <w:p w14:paraId="551F50BF" w14:textId="77777777" w:rsidR="00940D15" w:rsidRPr="005A6D84" w:rsidRDefault="00940D15" w:rsidP="004067DA">
            <w:pPr>
              <w:pStyle w:val="ListParagraph"/>
              <w:numPr>
                <w:ilvl w:val="0"/>
                <w:numId w:val="4"/>
              </w:numPr>
              <w:rPr>
                <w:rFonts w:ascii="Times New Roman" w:hAnsi="Times New Roman" w:cs="Times New Roman"/>
              </w:rPr>
            </w:pPr>
            <w:r w:rsidRPr="005A6D84">
              <w:rPr>
                <w:rFonts w:ascii="Times New Roman" w:hAnsi="Times New Roman" w:cs="Times New Roman"/>
                <w:sz w:val="22"/>
                <w:szCs w:val="22"/>
              </w:rPr>
              <w:t>Attitudes toward community health issues</w:t>
            </w:r>
          </w:p>
          <w:p w14:paraId="2D699717" w14:textId="77777777" w:rsidR="00940D15" w:rsidRPr="005A6D84" w:rsidRDefault="00940D15" w:rsidP="004067DA">
            <w:pPr>
              <w:pStyle w:val="ListParagraph"/>
              <w:numPr>
                <w:ilvl w:val="0"/>
                <w:numId w:val="4"/>
              </w:numPr>
              <w:rPr>
                <w:rFonts w:ascii="Times New Roman" w:hAnsi="Times New Roman" w:cs="Times New Roman"/>
              </w:rPr>
            </w:pPr>
            <w:r w:rsidRPr="005A6D84">
              <w:rPr>
                <w:rFonts w:ascii="Times New Roman" w:hAnsi="Times New Roman" w:cs="Times New Roman"/>
                <w:sz w:val="22"/>
                <w:szCs w:val="22"/>
              </w:rPr>
              <w:t>Identification to environmental assets and barriers</w:t>
            </w:r>
          </w:p>
          <w:p w14:paraId="46D60FD1" w14:textId="77777777" w:rsidR="00940D15" w:rsidRPr="005A6D84" w:rsidRDefault="00940D15" w:rsidP="004067DA">
            <w:pPr>
              <w:pStyle w:val="ListParagraph"/>
              <w:numPr>
                <w:ilvl w:val="0"/>
                <w:numId w:val="4"/>
              </w:numPr>
              <w:rPr>
                <w:rFonts w:ascii="Times New Roman" w:hAnsi="Times New Roman" w:cs="Times New Roman"/>
              </w:rPr>
            </w:pPr>
            <w:r w:rsidRPr="005A6D84">
              <w:rPr>
                <w:rFonts w:ascii="Times New Roman" w:hAnsi="Times New Roman" w:cs="Times New Roman"/>
                <w:sz w:val="22"/>
                <w:szCs w:val="22"/>
              </w:rPr>
              <w:t>Prioritization of neighborhood issues related to physical activity and nutrition</w:t>
            </w:r>
          </w:p>
        </w:tc>
        <w:tc>
          <w:tcPr>
            <w:tcW w:w="270" w:type="dxa"/>
            <w:tcBorders>
              <w:bottom w:val="single" w:sz="8" w:space="0" w:color="auto"/>
            </w:tcBorders>
          </w:tcPr>
          <w:p w14:paraId="1D29A330" w14:textId="77777777" w:rsidR="00940D15" w:rsidRPr="005A6D84" w:rsidRDefault="00940D15" w:rsidP="00795601"/>
        </w:tc>
        <w:tc>
          <w:tcPr>
            <w:tcW w:w="4068" w:type="dxa"/>
            <w:tcBorders>
              <w:bottom w:val="single" w:sz="8" w:space="0" w:color="auto"/>
            </w:tcBorders>
          </w:tcPr>
          <w:p w14:paraId="61662F3E" w14:textId="77777777" w:rsidR="00940D15" w:rsidRPr="005A6D84" w:rsidRDefault="00940D15" w:rsidP="00795601"/>
          <w:p w14:paraId="282F5051" w14:textId="77777777" w:rsidR="00940D15" w:rsidRPr="005A6D84" w:rsidRDefault="00940D15" w:rsidP="00795601">
            <w:r w:rsidRPr="005A6D84">
              <w:rPr>
                <w:sz w:val="22"/>
                <w:szCs w:val="22"/>
              </w:rPr>
              <w:t>Drachman Institute Neighborhood Survey</w:t>
            </w:r>
          </w:p>
        </w:tc>
      </w:tr>
    </w:tbl>
    <w:p w14:paraId="4FC16B7C" w14:textId="77777777" w:rsidR="00940D15" w:rsidRDefault="00940D15" w:rsidP="00621D85">
      <w:pPr>
        <w:jc w:val="both"/>
        <w:rPr>
          <w:sz w:val="22"/>
          <w:szCs w:val="22"/>
        </w:rPr>
      </w:pPr>
    </w:p>
    <w:p w14:paraId="4A454BF0" w14:textId="77777777" w:rsidR="00940D15" w:rsidRDefault="00940D15" w:rsidP="00621D85">
      <w:pPr>
        <w:jc w:val="both"/>
        <w:rPr>
          <w:sz w:val="22"/>
          <w:szCs w:val="22"/>
        </w:rPr>
      </w:pPr>
    </w:p>
    <w:p w14:paraId="5F7F127F" w14:textId="77777777" w:rsidR="00940D15" w:rsidRDefault="00940D15" w:rsidP="00621D85">
      <w:pPr>
        <w:jc w:val="both"/>
        <w:rPr>
          <w:sz w:val="22"/>
          <w:szCs w:val="22"/>
        </w:rPr>
        <w:sectPr w:rsidR="00940D15" w:rsidSect="00000B70">
          <w:type w:val="continuous"/>
          <w:pgSz w:w="12240" w:h="15840"/>
          <w:pgMar w:top="1440" w:right="1440" w:bottom="1440" w:left="1440" w:header="720" w:footer="720" w:gutter="0"/>
          <w:cols w:space="720"/>
          <w:docGrid w:linePitch="360"/>
        </w:sectPr>
      </w:pPr>
    </w:p>
    <w:p w14:paraId="28F589F3" w14:textId="77777777" w:rsidR="00940D15" w:rsidRDefault="00940D15" w:rsidP="00621D85">
      <w:pPr>
        <w:jc w:val="both"/>
        <w:rPr>
          <w:sz w:val="22"/>
          <w:szCs w:val="22"/>
        </w:rPr>
      </w:pPr>
      <w:r w:rsidRPr="00621D85">
        <w:rPr>
          <w:sz w:val="22"/>
          <w:szCs w:val="22"/>
        </w:rPr>
        <w:lastRenderedPageBreak/>
        <w:t xml:space="preserve">observable assets (parks and places of worship), opportunities for improvement (vacant lots and </w:t>
      </w:r>
      <w:r w:rsidRPr="00621D85">
        <w:rPr>
          <w:sz w:val="22"/>
          <w:szCs w:val="22"/>
        </w:rPr>
        <w:lastRenderedPageBreak/>
        <w:t xml:space="preserve">abandoned buildings), and other items related to the condition of the neighborhood (stray dogs </w:t>
      </w:r>
      <w:r w:rsidRPr="00621D85">
        <w:rPr>
          <w:sz w:val="22"/>
          <w:szCs w:val="22"/>
        </w:rPr>
        <w:lastRenderedPageBreak/>
        <w:t xml:space="preserve">and graffiti). Each evaluator documented notes throughout the assessment, followed by an exchange and comparison of observed characteristics. The duration of each observation </w:t>
      </w:r>
      <w:r w:rsidRPr="00621D85">
        <w:rPr>
          <w:sz w:val="22"/>
          <w:szCs w:val="22"/>
        </w:rPr>
        <w:lastRenderedPageBreak/>
        <w:t>ranged from 6-12 hours depending on the size of the area, the number of overall destinations, and the number of resources. Figure 1 provides an example of the food vendor assess</w:t>
      </w:r>
      <w:r>
        <w:rPr>
          <w:sz w:val="22"/>
          <w:szCs w:val="22"/>
        </w:rPr>
        <w:t>ment page.</w:t>
      </w:r>
    </w:p>
    <w:p w14:paraId="6EB9F3C2" w14:textId="77777777" w:rsidR="00940D15" w:rsidRDefault="00940D15" w:rsidP="00621D85">
      <w:pPr>
        <w:jc w:val="both"/>
        <w:rPr>
          <w:sz w:val="22"/>
          <w:szCs w:val="22"/>
        </w:rPr>
        <w:sectPr w:rsidR="00940D15" w:rsidSect="00621D85">
          <w:type w:val="continuous"/>
          <w:pgSz w:w="12240" w:h="15840"/>
          <w:pgMar w:top="1440" w:right="1440" w:bottom="1440" w:left="1440" w:header="720" w:footer="720" w:gutter="0"/>
          <w:cols w:num="2" w:space="720"/>
          <w:docGrid w:linePitch="360"/>
        </w:sectPr>
      </w:pPr>
    </w:p>
    <w:p w14:paraId="6EC95A6D" w14:textId="77777777" w:rsidR="00940D15" w:rsidRDefault="00940D15" w:rsidP="00621D85">
      <w:pPr>
        <w:jc w:val="both"/>
        <w:rPr>
          <w:sz w:val="22"/>
          <w:szCs w:val="22"/>
        </w:rPr>
      </w:pPr>
    </w:p>
    <w:p w14:paraId="3D9EF8AA" w14:textId="77777777" w:rsidR="00940D15" w:rsidRDefault="00940D15" w:rsidP="00621D85">
      <w:pPr>
        <w:jc w:val="both"/>
        <w:rPr>
          <w:sz w:val="22"/>
          <w:szCs w:val="22"/>
        </w:rPr>
        <w:sectPr w:rsidR="00940D15" w:rsidSect="002E461E">
          <w:type w:val="continuous"/>
          <w:pgSz w:w="12240" w:h="15840"/>
          <w:pgMar w:top="1440" w:right="1440" w:bottom="1440" w:left="1440" w:header="720" w:footer="720" w:gutter="0"/>
          <w:cols w:space="720"/>
          <w:docGrid w:linePitch="360"/>
        </w:sectPr>
      </w:pPr>
    </w:p>
    <w:p w14:paraId="16B66F59" w14:textId="77777777" w:rsidR="00940D15" w:rsidRDefault="00940D15" w:rsidP="002E461E">
      <w:pPr>
        <w:jc w:val="center"/>
        <w:rPr>
          <w:b/>
          <w:bCs/>
          <w:sz w:val="22"/>
          <w:szCs w:val="22"/>
        </w:rPr>
      </w:pPr>
      <w:r w:rsidRPr="002E461E">
        <w:rPr>
          <w:b/>
          <w:bCs/>
          <w:sz w:val="22"/>
          <w:szCs w:val="22"/>
        </w:rPr>
        <w:lastRenderedPageBreak/>
        <w:t>Figure 1</w:t>
      </w:r>
    </w:p>
    <w:p w14:paraId="6FDA57C9" w14:textId="77777777" w:rsidR="00940D15" w:rsidRPr="002E461E" w:rsidRDefault="00940D15" w:rsidP="002E461E">
      <w:pPr>
        <w:jc w:val="center"/>
        <w:rPr>
          <w:b/>
          <w:bCs/>
          <w:sz w:val="22"/>
          <w:szCs w:val="22"/>
        </w:rPr>
      </w:pPr>
    </w:p>
    <w:p w14:paraId="2666AB8A" w14:textId="77777777" w:rsidR="00940D15" w:rsidRPr="002E461E" w:rsidRDefault="005A6D84" w:rsidP="002E461E">
      <w:pPr>
        <w:jc w:val="center"/>
        <w:rPr>
          <w:b/>
          <w:bCs/>
          <w:sz w:val="22"/>
          <w:szCs w:val="22"/>
        </w:rPr>
      </w:pPr>
      <w:r>
        <w:rPr>
          <w:noProof/>
        </w:rPr>
        <w:drawing>
          <wp:anchor distT="0" distB="0" distL="114300" distR="114300" simplePos="0" relativeHeight="251658240" behindDoc="0" locked="0" layoutInCell="1" allowOverlap="1" wp14:anchorId="540F7784" wp14:editId="7068DA64">
            <wp:simplePos x="0" y="0"/>
            <wp:positionH relativeFrom="column">
              <wp:posOffset>-123190</wp:posOffset>
            </wp:positionH>
            <wp:positionV relativeFrom="paragraph">
              <wp:posOffset>180975</wp:posOffset>
            </wp:positionV>
            <wp:extent cx="6166485" cy="4085590"/>
            <wp:effectExtent l="19050" t="19050" r="24765" b="1016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6166485" cy="4085590"/>
                    </a:xfrm>
                    <a:prstGeom prst="rect">
                      <a:avLst/>
                    </a:prstGeom>
                    <a:noFill/>
                    <a:ln w="9525">
                      <a:solidFill>
                        <a:srgbClr val="000000"/>
                      </a:solidFill>
                      <a:miter lim="800000"/>
                      <a:headEnd/>
                      <a:tailEnd/>
                    </a:ln>
                  </pic:spPr>
                </pic:pic>
              </a:graphicData>
            </a:graphic>
          </wp:anchor>
        </w:drawing>
      </w:r>
      <w:r w:rsidR="00940D15" w:rsidRPr="002E461E">
        <w:rPr>
          <w:b/>
          <w:bCs/>
          <w:sz w:val="22"/>
          <w:szCs w:val="22"/>
        </w:rPr>
        <w:t>Food Vendor Assessment Tool</w:t>
      </w:r>
    </w:p>
    <w:p w14:paraId="4BCF87CD" w14:textId="77777777" w:rsidR="00940D15" w:rsidRDefault="00940D15" w:rsidP="009D5F81">
      <w:pPr>
        <w:jc w:val="center"/>
        <w:rPr>
          <w:sz w:val="22"/>
          <w:szCs w:val="22"/>
        </w:rPr>
      </w:pPr>
    </w:p>
    <w:p w14:paraId="7399A5ED" w14:textId="77777777" w:rsidR="00940D15" w:rsidRDefault="00940D15" w:rsidP="00621D85">
      <w:pPr>
        <w:jc w:val="both"/>
        <w:rPr>
          <w:sz w:val="22"/>
          <w:szCs w:val="22"/>
        </w:rPr>
      </w:pPr>
    </w:p>
    <w:p w14:paraId="687F68DC" w14:textId="77777777" w:rsidR="00940D15" w:rsidRDefault="00940D15" w:rsidP="00621D85">
      <w:pPr>
        <w:jc w:val="both"/>
        <w:rPr>
          <w:sz w:val="22"/>
          <w:szCs w:val="22"/>
        </w:rPr>
      </w:pPr>
    </w:p>
    <w:p w14:paraId="7AE6B22F" w14:textId="77777777" w:rsidR="00940D15" w:rsidRDefault="00940D15" w:rsidP="00621D85">
      <w:pPr>
        <w:jc w:val="both"/>
        <w:rPr>
          <w:sz w:val="22"/>
          <w:szCs w:val="22"/>
        </w:rPr>
        <w:sectPr w:rsidR="00940D15" w:rsidSect="002E461E">
          <w:type w:val="continuous"/>
          <w:pgSz w:w="12240" w:h="15840"/>
          <w:pgMar w:top="1440" w:right="1440" w:bottom="1440" w:left="1440" w:header="720" w:footer="720" w:gutter="0"/>
          <w:cols w:space="720"/>
          <w:docGrid w:linePitch="360"/>
        </w:sectPr>
      </w:pPr>
    </w:p>
    <w:p w14:paraId="7F4EB559" w14:textId="77777777" w:rsidR="00940D15" w:rsidRPr="004A3363" w:rsidRDefault="00940D15" w:rsidP="00621D85">
      <w:pPr>
        <w:jc w:val="both"/>
        <w:rPr>
          <w:b/>
          <w:bCs/>
          <w:sz w:val="22"/>
          <w:szCs w:val="22"/>
        </w:rPr>
      </w:pPr>
      <w:r w:rsidRPr="004A3363">
        <w:rPr>
          <w:b/>
          <w:bCs/>
          <w:sz w:val="22"/>
          <w:szCs w:val="22"/>
        </w:rPr>
        <w:lastRenderedPageBreak/>
        <w:t>Neighborhood Connector Interviews</w:t>
      </w:r>
    </w:p>
    <w:p w14:paraId="09901657" w14:textId="77777777" w:rsidR="00940D15" w:rsidRDefault="00940D15" w:rsidP="00621D85">
      <w:pPr>
        <w:jc w:val="both"/>
        <w:rPr>
          <w:sz w:val="22"/>
          <w:szCs w:val="22"/>
        </w:rPr>
      </w:pPr>
      <w:r w:rsidRPr="00621D85">
        <w:rPr>
          <w:sz w:val="22"/>
          <w:szCs w:val="22"/>
        </w:rPr>
        <w:t>Pima County CPPW partner PRO Neighborhoods was responsible for identifying and supporting a neighborhood connector in each CPPW target areas. Neighborhood connectors, or community representatives, were tasked with engaging residents in prioritizing and designing projects in their communities, and were contacted by PRO Neighborhoods based on previous relationships (e.g., previous work on a neighborhood project or attendance at a PRO Neighborhoods workshop or tr</w:t>
      </w:r>
      <w:r>
        <w:rPr>
          <w:sz w:val="22"/>
          <w:szCs w:val="22"/>
        </w:rPr>
        <w:t xml:space="preserve">aining). </w:t>
      </w:r>
      <w:r w:rsidRPr="00621D85">
        <w:rPr>
          <w:sz w:val="22"/>
          <w:szCs w:val="22"/>
        </w:rPr>
        <w:t xml:space="preserve">Approximately half of the connectors were members of their neighborhood association, </w:t>
      </w:r>
      <w:r w:rsidRPr="00621D85">
        <w:rPr>
          <w:sz w:val="22"/>
          <w:szCs w:val="22"/>
        </w:rPr>
        <w:lastRenderedPageBreak/>
        <w:t>while others were recruited through local events and agencies.  PRO Neighborhoods provided the connectors with a small stipend, training and staff support, and an allocation of $6,0</w:t>
      </w:r>
      <w:r>
        <w:rPr>
          <w:sz w:val="22"/>
          <w:szCs w:val="22"/>
        </w:rPr>
        <w:t>00 for a neighborhood project.</w:t>
      </w:r>
    </w:p>
    <w:p w14:paraId="77B5B695" w14:textId="77777777" w:rsidR="00940D15" w:rsidRPr="00621D85" w:rsidRDefault="00940D15" w:rsidP="00621D85">
      <w:pPr>
        <w:jc w:val="both"/>
        <w:rPr>
          <w:sz w:val="22"/>
          <w:szCs w:val="22"/>
        </w:rPr>
      </w:pPr>
    </w:p>
    <w:p w14:paraId="112A6E10" w14:textId="77777777" w:rsidR="00940D15" w:rsidRDefault="00940D15" w:rsidP="00621D85">
      <w:pPr>
        <w:jc w:val="both"/>
        <w:rPr>
          <w:sz w:val="22"/>
          <w:szCs w:val="22"/>
        </w:rPr>
      </w:pPr>
      <w:r w:rsidRPr="00621D85">
        <w:rPr>
          <w:sz w:val="22"/>
          <w:szCs w:val="22"/>
        </w:rPr>
        <w:t xml:space="preserve">The evaluation team conducted face to face interviews at a convenient public location in order to accommodate interviewee preference. Connector interviews included questions about local attitudes toward community health issues and identification of environmental assets and barriers to health and wellness, as well as neighborhood resources and support. The </w:t>
      </w:r>
      <w:r w:rsidRPr="00621D85">
        <w:rPr>
          <w:sz w:val="22"/>
          <w:szCs w:val="22"/>
        </w:rPr>
        <w:lastRenderedPageBreak/>
        <w:t>evaluator recorded the 30 to 60 minute interview and took additional notes throughout the session. Evaluators conducted a content analysis of transcribed interviews, and incorporated direct quotes into relevant sections of the neighborhood profile. Quotes highlighted interviewees’ perceptions of the neighborhoods’ strengths, assets, opportunities and chal</w:t>
      </w:r>
      <w:r>
        <w:rPr>
          <w:sz w:val="22"/>
          <w:szCs w:val="22"/>
        </w:rPr>
        <w:t>lenges.</w:t>
      </w:r>
    </w:p>
    <w:p w14:paraId="23CD2013" w14:textId="77777777" w:rsidR="00940D15" w:rsidRPr="00621D85" w:rsidRDefault="00940D15" w:rsidP="00621D85">
      <w:pPr>
        <w:jc w:val="both"/>
        <w:rPr>
          <w:sz w:val="22"/>
          <w:szCs w:val="22"/>
        </w:rPr>
      </w:pPr>
    </w:p>
    <w:p w14:paraId="0F543E97" w14:textId="77777777" w:rsidR="00940D15" w:rsidRPr="004A3363" w:rsidRDefault="00940D15" w:rsidP="00621D85">
      <w:pPr>
        <w:jc w:val="both"/>
        <w:rPr>
          <w:b/>
          <w:bCs/>
          <w:sz w:val="22"/>
          <w:szCs w:val="22"/>
        </w:rPr>
      </w:pPr>
      <w:r w:rsidRPr="004A3363">
        <w:rPr>
          <w:b/>
          <w:bCs/>
          <w:sz w:val="22"/>
          <w:szCs w:val="22"/>
        </w:rPr>
        <w:t>Community Surveys</w:t>
      </w:r>
    </w:p>
    <w:p w14:paraId="2DF1D77C" w14:textId="77777777" w:rsidR="00940D15" w:rsidRDefault="00940D15" w:rsidP="00621D85">
      <w:pPr>
        <w:jc w:val="both"/>
        <w:rPr>
          <w:sz w:val="22"/>
          <w:szCs w:val="22"/>
        </w:rPr>
      </w:pPr>
      <w:r w:rsidRPr="00621D85">
        <w:rPr>
          <w:sz w:val="22"/>
          <w:szCs w:val="22"/>
        </w:rPr>
        <w:t>Evaluators partnered with neighborhood connectors to develop and conduct community surveys with the dual purpose of providing collective insight into the neighborhood environment and contributing to the neighborhood visioning process. The survey was based upon a community development tool designed by the University of Arizona Drachman Institute, a Pima County CPPW partner, which was revised to include questions about food accessibility. While most neighborhoods used the same survey, some tailored the survey slightly to reflect identified priorities. As part of the community-driven approach, survey distribution was at the discretion of each neighborhood connector. Some chose to distribute and collect surveys door-to-door while others distributed surveys at neighborhood events such as block par</w:t>
      </w:r>
      <w:r>
        <w:rPr>
          <w:sz w:val="22"/>
          <w:szCs w:val="22"/>
        </w:rPr>
        <w:t xml:space="preserve">ties or neighborhood meetings. </w:t>
      </w:r>
      <w:r w:rsidRPr="00621D85">
        <w:rPr>
          <w:sz w:val="22"/>
          <w:szCs w:val="22"/>
        </w:rPr>
        <w:t xml:space="preserve">The surveys did not attempt to capture a representative sample of their neighborhoods, but rather the opinions of those most likely to be engaged in planning and </w:t>
      </w:r>
      <w:r>
        <w:rPr>
          <w:sz w:val="22"/>
          <w:szCs w:val="22"/>
        </w:rPr>
        <w:t>implementing a project.</w:t>
      </w:r>
      <w:r w:rsidRPr="00621D85">
        <w:rPr>
          <w:sz w:val="22"/>
          <w:szCs w:val="22"/>
        </w:rPr>
        <w:t xml:space="preserve"> The number of surveys varied based on the methods used by each connector and the size of th</w:t>
      </w:r>
      <w:r>
        <w:rPr>
          <w:sz w:val="22"/>
          <w:szCs w:val="22"/>
        </w:rPr>
        <w:t xml:space="preserve">e neighborhood being surveyed. </w:t>
      </w:r>
      <w:r w:rsidRPr="00621D85">
        <w:rPr>
          <w:sz w:val="22"/>
          <w:szCs w:val="22"/>
        </w:rPr>
        <w:t>The surveys were ava</w:t>
      </w:r>
      <w:r>
        <w:rPr>
          <w:sz w:val="22"/>
          <w:szCs w:val="22"/>
        </w:rPr>
        <w:t>ilable in English and Spanish.</w:t>
      </w:r>
      <w:r w:rsidRPr="00621D85">
        <w:rPr>
          <w:sz w:val="22"/>
          <w:szCs w:val="22"/>
        </w:rPr>
        <w:t xml:space="preserve"> Evaluators analyzed surveys using simple frequency distributions for closed-ended questions, while open-ended questions </w:t>
      </w:r>
      <w:r>
        <w:rPr>
          <w:sz w:val="22"/>
          <w:szCs w:val="22"/>
        </w:rPr>
        <w:t>were analyzed based on content.</w:t>
      </w:r>
    </w:p>
    <w:p w14:paraId="31E48577" w14:textId="77777777" w:rsidR="00940D15" w:rsidRPr="00621D85" w:rsidRDefault="00940D15" w:rsidP="00621D85">
      <w:pPr>
        <w:jc w:val="both"/>
        <w:rPr>
          <w:sz w:val="22"/>
          <w:szCs w:val="22"/>
        </w:rPr>
      </w:pPr>
    </w:p>
    <w:p w14:paraId="26E102C5" w14:textId="77777777" w:rsidR="00940D15" w:rsidRPr="004A3363" w:rsidRDefault="00940D15" w:rsidP="00621D85">
      <w:pPr>
        <w:jc w:val="both"/>
        <w:rPr>
          <w:b/>
          <w:bCs/>
          <w:sz w:val="22"/>
          <w:szCs w:val="22"/>
        </w:rPr>
      </w:pPr>
      <w:r w:rsidRPr="004A3363">
        <w:rPr>
          <w:b/>
          <w:bCs/>
          <w:sz w:val="22"/>
          <w:szCs w:val="22"/>
        </w:rPr>
        <w:t>Analytic Plan</w:t>
      </w:r>
    </w:p>
    <w:p w14:paraId="2133FF8F" w14:textId="77777777" w:rsidR="00940D15" w:rsidRDefault="00940D15" w:rsidP="009D5F81">
      <w:pPr>
        <w:jc w:val="both"/>
        <w:rPr>
          <w:sz w:val="22"/>
          <w:szCs w:val="22"/>
        </w:rPr>
      </w:pPr>
      <w:r w:rsidRPr="00621D85">
        <w:rPr>
          <w:sz w:val="22"/>
          <w:szCs w:val="22"/>
        </w:rPr>
        <w:t xml:space="preserve">Data from each of these four sources was organized into distinct neighborhood profiles. Secondary data was analyzed by combining the </w:t>
      </w:r>
      <w:r>
        <w:rPr>
          <w:sz w:val="22"/>
          <w:szCs w:val="22"/>
        </w:rPr>
        <w:br/>
      </w:r>
      <w:r>
        <w:rPr>
          <w:sz w:val="22"/>
          <w:szCs w:val="22"/>
        </w:rPr>
        <w:br/>
      </w:r>
      <w:r w:rsidRPr="00621D85">
        <w:rPr>
          <w:sz w:val="22"/>
          <w:szCs w:val="22"/>
        </w:rPr>
        <w:t xml:space="preserve">census tracts that existed within the geographic boundary of each participating neighborhood and included area, demographic and health indicators: indicators of community stress, and </w:t>
      </w:r>
      <w:r w:rsidRPr="00621D85">
        <w:rPr>
          <w:sz w:val="22"/>
          <w:szCs w:val="22"/>
        </w:rPr>
        <w:lastRenderedPageBreak/>
        <w:t>community resources (transportation (active and passive), recreational facilities, food resources). Data from the observational survey was tabulated and presented as pie charts, bar charts, frequency tables, and photographs. Content analysis was used to analyze connector interviews based on the themes of neighborhood strengths,</w:t>
      </w:r>
      <w:r>
        <w:rPr>
          <w:sz w:val="22"/>
          <w:szCs w:val="22"/>
        </w:rPr>
        <w:t xml:space="preserve"> challenges and opportunities. </w:t>
      </w:r>
      <w:r w:rsidRPr="00621D85">
        <w:rPr>
          <w:sz w:val="22"/>
          <w:szCs w:val="22"/>
        </w:rPr>
        <w:t>For the neighborhood survey, frequencies and percentages were calculated for the following items: what do you like best about your neighborhood; what is the greatest concern to you; what changes would you most like to see; what would help people in your neighborhood to get healthy food; and do you bike/walk in your neighborhood.</w:t>
      </w:r>
    </w:p>
    <w:p w14:paraId="62DFC912" w14:textId="77777777" w:rsidR="00940D15" w:rsidRPr="00621D85" w:rsidRDefault="00940D15" w:rsidP="009D5F81">
      <w:pPr>
        <w:jc w:val="both"/>
        <w:rPr>
          <w:sz w:val="22"/>
          <w:szCs w:val="22"/>
        </w:rPr>
      </w:pPr>
    </w:p>
    <w:p w14:paraId="3E319340" w14:textId="77777777" w:rsidR="00940D15" w:rsidRPr="004A3363" w:rsidRDefault="00940D15" w:rsidP="009D5F81">
      <w:pPr>
        <w:jc w:val="center"/>
        <w:rPr>
          <w:b/>
          <w:bCs/>
          <w:sz w:val="22"/>
          <w:szCs w:val="22"/>
        </w:rPr>
      </w:pPr>
      <w:r w:rsidRPr="004A3363">
        <w:rPr>
          <w:b/>
          <w:bCs/>
          <w:sz w:val="22"/>
          <w:szCs w:val="22"/>
        </w:rPr>
        <w:t>Results</w:t>
      </w:r>
    </w:p>
    <w:p w14:paraId="0EEAE4AE" w14:textId="77777777" w:rsidR="00940D15" w:rsidRDefault="00940D15" w:rsidP="009D5F81">
      <w:pPr>
        <w:jc w:val="both"/>
        <w:rPr>
          <w:sz w:val="22"/>
          <w:szCs w:val="22"/>
        </w:rPr>
      </w:pPr>
    </w:p>
    <w:p w14:paraId="6453A64C" w14:textId="77777777" w:rsidR="00940D15" w:rsidRDefault="00940D15" w:rsidP="009D5F81">
      <w:pPr>
        <w:jc w:val="both"/>
        <w:rPr>
          <w:sz w:val="22"/>
          <w:szCs w:val="22"/>
        </w:rPr>
      </w:pPr>
      <w:r w:rsidRPr="00621D85">
        <w:rPr>
          <w:sz w:val="22"/>
          <w:szCs w:val="22"/>
        </w:rPr>
        <w:t xml:space="preserve">The neighborhood profile evolved through the cooperative efforts of PRO Neighborhoods and AzPRC and emerged as a tool for neighborhood residents and stakeholders. The tool provided an analysis of neighborhood challenges, priorities and opportunities associated with healthy eating and an active lifestyle from a range of perspectives, which they then </w:t>
      </w:r>
      <w:r>
        <w:rPr>
          <w:sz w:val="22"/>
          <w:szCs w:val="22"/>
        </w:rPr>
        <w:t>used in local planning efforts.</w:t>
      </w:r>
    </w:p>
    <w:p w14:paraId="781FAF90" w14:textId="77777777" w:rsidR="00940D15" w:rsidRPr="00621D85" w:rsidRDefault="00940D15" w:rsidP="009D5F81">
      <w:pPr>
        <w:jc w:val="both"/>
        <w:rPr>
          <w:sz w:val="22"/>
          <w:szCs w:val="22"/>
        </w:rPr>
      </w:pPr>
    </w:p>
    <w:p w14:paraId="729F0E1D" w14:textId="77777777" w:rsidR="00940D15" w:rsidRDefault="00940D15" w:rsidP="009D5F81">
      <w:pPr>
        <w:jc w:val="both"/>
        <w:rPr>
          <w:sz w:val="22"/>
          <w:szCs w:val="22"/>
        </w:rPr>
        <w:sectPr w:rsidR="00940D15" w:rsidSect="00621D85">
          <w:type w:val="continuous"/>
          <w:pgSz w:w="12240" w:h="15840"/>
          <w:pgMar w:top="1440" w:right="1440" w:bottom="1440" w:left="1440" w:header="720" w:footer="720" w:gutter="0"/>
          <w:cols w:num="2" w:space="720"/>
          <w:docGrid w:linePitch="360"/>
        </w:sectPr>
      </w:pPr>
      <w:r w:rsidRPr="00621D85">
        <w:rPr>
          <w:sz w:val="22"/>
          <w:szCs w:val="22"/>
        </w:rPr>
        <w:t>Table 2 provides a comparative overview of secondary and observational data collected in the neighborhood profile.  The neighborhoods varied in size, with the majority being between one to two square miles, and the largest, a rural community, was nine square miles. Six of the target communities were over 50% Latino with a range of 26% to 79%. Neighborhood levels of home ownership and per capita income fell close to or far below r</w:t>
      </w:r>
      <w:r>
        <w:rPr>
          <w:sz w:val="22"/>
          <w:szCs w:val="22"/>
        </w:rPr>
        <w:t>espective Pima County averages.</w:t>
      </w:r>
      <w:r w:rsidRPr="00621D85">
        <w:rPr>
          <w:sz w:val="22"/>
          <w:szCs w:val="22"/>
        </w:rPr>
        <w:t xml:space="preserve"> Indicators of the physical activity environment included the number of public recreation sites per square mile, which varied between 0.3 and 6, and the presence of bike and bus routes, which were present in most areas. With respect to the nutrition environment, four of the twelve areas had no large grocery store, </w:t>
      </w:r>
      <w:r>
        <w:rPr>
          <w:sz w:val="22"/>
          <w:szCs w:val="22"/>
        </w:rPr>
        <w:br/>
      </w:r>
    </w:p>
    <w:p w14:paraId="5AED5077" w14:textId="77777777" w:rsidR="00940D15" w:rsidRPr="00AC3C33" w:rsidRDefault="00940D15" w:rsidP="00AC3C33">
      <w:pPr>
        <w:jc w:val="center"/>
        <w:rPr>
          <w:b/>
          <w:bCs/>
          <w:sz w:val="22"/>
          <w:szCs w:val="22"/>
        </w:rPr>
      </w:pPr>
      <w:r w:rsidRPr="00AC3C33">
        <w:rPr>
          <w:b/>
          <w:bCs/>
          <w:sz w:val="22"/>
          <w:szCs w:val="22"/>
        </w:rPr>
        <w:lastRenderedPageBreak/>
        <w:t>Table 2</w:t>
      </w:r>
    </w:p>
    <w:p w14:paraId="5D34CEA7" w14:textId="77777777" w:rsidR="00940D15" w:rsidRDefault="00940D15" w:rsidP="00AC3C33">
      <w:pPr>
        <w:jc w:val="both"/>
        <w:rPr>
          <w:sz w:val="22"/>
          <w:szCs w:val="22"/>
        </w:rPr>
      </w:pPr>
    </w:p>
    <w:p w14:paraId="4DE8CC50" w14:textId="77777777" w:rsidR="00940D15" w:rsidRPr="00AC3C33" w:rsidRDefault="00940D15" w:rsidP="00AC3C33">
      <w:pPr>
        <w:ind w:left="-720" w:right="-360"/>
        <w:jc w:val="both"/>
        <w:rPr>
          <w:b/>
          <w:bCs/>
          <w:sz w:val="22"/>
          <w:szCs w:val="22"/>
        </w:rPr>
      </w:pPr>
      <w:r w:rsidRPr="00AC3C33">
        <w:rPr>
          <w:b/>
          <w:bCs/>
        </w:rPr>
        <w:t xml:space="preserve">Indicators of the Physical Activity and Nutrition Environment </w:t>
      </w:r>
      <w:r>
        <w:rPr>
          <w:b/>
          <w:bCs/>
        </w:rPr>
        <w:t>from Secondary data, Observati</w:t>
      </w:r>
      <w:r w:rsidR="006F2D3D">
        <w:rPr>
          <w:b/>
          <w:bCs/>
        </w:rPr>
        <w:t>o</w:t>
      </w:r>
      <w:r>
        <w:rPr>
          <w:b/>
          <w:bCs/>
        </w:rPr>
        <w:t>n</w:t>
      </w:r>
      <w:r w:rsidRPr="00AC3C33">
        <w:rPr>
          <w:b/>
          <w:bCs/>
        </w:rPr>
        <w:t xml:space="preserve">al Assessment and Resident </w:t>
      </w:r>
      <w:r>
        <w:rPr>
          <w:b/>
          <w:bCs/>
        </w:rPr>
        <w:t xml:space="preserve"> </w:t>
      </w:r>
      <w:r w:rsidRPr="00AC3C33">
        <w:rPr>
          <w:b/>
          <w:bCs/>
        </w:rPr>
        <w:t>Interviews</w:t>
      </w:r>
      <w:r>
        <w:rPr>
          <w:b/>
          <w:bCs/>
        </w:rPr>
        <w:t xml:space="preserve"> </w:t>
      </w:r>
    </w:p>
    <w:tbl>
      <w:tblPr>
        <w:tblW w:w="15155" w:type="dxa"/>
        <w:jc w:val="center"/>
        <w:tblBorders>
          <w:top w:val="single" w:sz="4" w:space="0" w:color="auto"/>
          <w:bottom w:val="single" w:sz="4" w:space="0" w:color="auto"/>
          <w:insideH w:val="single" w:sz="4" w:space="0" w:color="auto"/>
        </w:tblBorders>
        <w:tblLayout w:type="fixed"/>
        <w:tblCellMar>
          <w:left w:w="70" w:type="dxa"/>
          <w:right w:w="70" w:type="dxa"/>
        </w:tblCellMar>
        <w:tblLook w:val="00A0" w:firstRow="1" w:lastRow="0" w:firstColumn="1" w:lastColumn="0" w:noHBand="0" w:noVBand="0"/>
      </w:tblPr>
      <w:tblGrid>
        <w:gridCol w:w="1800"/>
        <w:gridCol w:w="900"/>
        <w:gridCol w:w="900"/>
        <w:gridCol w:w="965"/>
        <w:gridCol w:w="1041"/>
        <w:gridCol w:w="1042"/>
        <w:gridCol w:w="30"/>
        <w:gridCol w:w="900"/>
        <w:gridCol w:w="1044"/>
        <w:gridCol w:w="1225"/>
        <w:gridCol w:w="1041"/>
        <w:gridCol w:w="1042"/>
        <w:gridCol w:w="1041"/>
        <w:gridCol w:w="1042"/>
        <w:gridCol w:w="1142"/>
      </w:tblGrid>
      <w:tr w:rsidR="00940D15" w:rsidRPr="005A6D84" w14:paraId="5F523120" w14:textId="77777777">
        <w:trPr>
          <w:trHeight w:val="363"/>
          <w:jc w:val="center"/>
        </w:trPr>
        <w:tc>
          <w:tcPr>
            <w:tcW w:w="15155" w:type="dxa"/>
            <w:gridSpan w:val="15"/>
            <w:vAlign w:val="bottom"/>
          </w:tcPr>
          <w:p w14:paraId="76F2E543" w14:textId="77777777" w:rsidR="00940D15" w:rsidRPr="005A6D84" w:rsidRDefault="00DE7845" w:rsidP="00795601">
            <w:pPr>
              <w:jc w:val="center"/>
              <w:rPr>
                <w:color w:val="000000"/>
                <w:lang w:eastAsia="es-MX"/>
              </w:rPr>
            </w:pPr>
            <w:r>
              <w:rPr>
                <w:color w:val="000000"/>
                <w:sz w:val="22"/>
                <w:szCs w:val="22"/>
                <w:lang w:eastAsia="es-MX"/>
              </w:rPr>
              <w:t>N</w:t>
            </w:r>
            <w:r w:rsidR="00940D15" w:rsidRPr="005A6D84">
              <w:rPr>
                <w:color w:val="000000"/>
                <w:sz w:val="22"/>
                <w:szCs w:val="22"/>
                <w:lang w:eastAsia="es-MX"/>
              </w:rPr>
              <w:t>=12</w:t>
            </w:r>
            <w:r>
              <w:rPr>
                <w:color w:val="000000"/>
                <w:sz w:val="22"/>
                <w:szCs w:val="22"/>
                <w:lang w:eastAsia="es-MX"/>
              </w:rPr>
              <w:t xml:space="preserve"> Neighborhoods Surveyed</w:t>
            </w:r>
          </w:p>
        </w:tc>
      </w:tr>
      <w:tr w:rsidR="00940D15" w:rsidRPr="005A6D84" w14:paraId="64E015D8" w14:textId="77777777">
        <w:trPr>
          <w:trHeight w:val="363"/>
          <w:jc w:val="center"/>
        </w:trPr>
        <w:tc>
          <w:tcPr>
            <w:tcW w:w="1800" w:type="dxa"/>
            <w:vAlign w:val="bottom"/>
          </w:tcPr>
          <w:p w14:paraId="6F338724" w14:textId="77777777" w:rsidR="00940D15" w:rsidRPr="005A6D84" w:rsidRDefault="00940D15" w:rsidP="00795601">
            <w:pPr>
              <w:rPr>
                <w:b/>
                <w:bCs/>
                <w:color w:val="000000"/>
                <w:lang w:eastAsia="es-MX"/>
              </w:rPr>
            </w:pPr>
            <w:r w:rsidRPr="005A6D84">
              <w:rPr>
                <w:b/>
                <w:bCs/>
                <w:color w:val="000000"/>
                <w:lang w:eastAsia="es-MX"/>
              </w:rPr>
              <w:t>Target area</w:t>
            </w:r>
          </w:p>
          <w:p w14:paraId="26D46D36" w14:textId="77777777" w:rsidR="00940D15" w:rsidRPr="005A6D84" w:rsidRDefault="00940D15" w:rsidP="00795601">
            <w:pPr>
              <w:rPr>
                <w:b/>
                <w:bCs/>
                <w:color w:val="000000"/>
                <w:lang w:eastAsia="es-MX"/>
              </w:rPr>
            </w:pPr>
            <w:r w:rsidRPr="005A6D84">
              <w:rPr>
                <w:b/>
                <w:bCs/>
                <w:color w:val="000000"/>
                <w:lang w:eastAsia="es-MX"/>
              </w:rPr>
              <w:t>Survey N</w:t>
            </w:r>
          </w:p>
        </w:tc>
        <w:tc>
          <w:tcPr>
            <w:tcW w:w="900" w:type="dxa"/>
            <w:vAlign w:val="bottom"/>
          </w:tcPr>
          <w:p w14:paraId="3E6E7148" w14:textId="77777777" w:rsidR="00940D15" w:rsidRPr="005A6D84" w:rsidRDefault="00940D15" w:rsidP="00795601">
            <w:pPr>
              <w:ind w:right="59"/>
              <w:jc w:val="center"/>
              <w:rPr>
                <w:b/>
                <w:bCs/>
                <w:color w:val="000000"/>
                <w:lang w:eastAsia="es-MX"/>
              </w:rPr>
            </w:pPr>
            <w:r w:rsidRPr="005A6D84">
              <w:rPr>
                <w:b/>
                <w:bCs/>
                <w:color w:val="000000"/>
                <w:lang w:eastAsia="es-MX"/>
              </w:rPr>
              <w:t xml:space="preserve">1  </w:t>
            </w:r>
            <w:r w:rsidR="005A6D84">
              <w:rPr>
                <w:b/>
                <w:bCs/>
                <w:color w:val="000000"/>
                <w:lang w:eastAsia="es-MX"/>
              </w:rPr>
              <w:t xml:space="preserve">                               n</w:t>
            </w:r>
            <w:r w:rsidRPr="005A6D84">
              <w:rPr>
                <w:b/>
                <w:bCs/>
                <w:color w:val="000000"/>
                <w:lang w:eastAsia="es-MX"/>
              </w:rPr>
              <w:t>=43</w:t>
            </w:r>
          </w:p>
        </w:tc>
        <w:tc>
          <w:tcPr>
            <w:tcW w:w="900" w:type="dxa"/>
            <w:vAlign w:val="bottom"/>
          </w:tcPr>
          <w:p w14:paraId="2DFCA7A1" w14:textId="77777777" w:rsidR="00940D15" w:rsidRPr="005A6D84" w:rsidRDefault="005A6D84" w:rsidP="00795601">
            <w:pPr>
              <w:jc w:val="center"/>
              <w:rPr>
                <w:b/>
                <w:bCs/>
                <w:color w:val="000000"/>
                <w:lang w:eastAsia="es-MX"/>
              </w:rPr>
            </w:pPr>
            <w:r>
              <w:rPr>
                <w:b/>
                <w:bCs/>
                <w:color w:val="000000"/>
                <w:lang w:eastAsia="es-MX"/>
              </w:rPr>
              <w:t>2                n</w:t>
            </w:r>
            <w:r w:rsidR="00940D15" w:rsidRPr="005A6D84">
              <w:rPr>
                <w:b/>
                <w:bCs/>
                <w:color w:val="000000"/>
                <w:lang w:eastAsia="es-MX"/>
              </w:rPr>
              <w:t>=43</w:t>
            </w:r>
          </w:p>
        </w:tc>
        <w:tc>
          <w:tcPr>
            <w:tcW w:w="965" w:type="dxa"/>
            <w:vAlign w:val="bottom"/>
          </w:tcPr>
          <w:p w14:paraId="50B7A879" w14:textId="77777777" w:rsidR="00940D15" w:rsidRPr="005A6D84" w:rsidRDefault="00940D15" w:rsidP="00795601">
            <w:pPr>
              <w:jc w:val="center"/>
              <w:rPr>
                <w:b/>
                <w:bCs/>
                <w:color w:val="000000"/>
                <w:lang w:eastAsia="es-MX"/>
              </w:rPr>
            </w:pPr>
            <w:r w:rsidRPr="005A6D84">
              <w:rPr>
                <w:b/>
                <w:bCs/>
                <w:color w:val="000000"/>
                <w:lang w:eastAsia="es-MX"/>
              </w:rPr>
              <w:t>3</w:t>
            </w:r>
          </w:p>
          <w:p w14:paraId="30C713C2" w14:textId="77777777" w:rsidR="00940D15" w:rsidRPr="005A6D84" w:rsidRDefault="005A6D84" w:rsidP="00795601">
            <w:pPr>
              <w:jc w:val="center"/>
              <w:rPr>
                <w:b/>
                <w:bCs/>
                <w:color w:val="000000"/>
                <w:lang w:eastAsia="es-MX"/>
              </w:rPr>
            </w:pPr>
            <w:r>
              <w:rPr>
                <w:b/>
                <w:bCs/>
                <w:color w:val="000000"/>
                <w:lang w:eastAsia="es-MX"/>
              </w:rPr>
              <w:t xml:space="preserve"> n</w:t>
            </w:r>
            <w:r w:rsidR="00940D15" w:rsidRPr="005A6D84">
              <w:rPr>
                <w:b/>
                <w:bCs/>
                <w:color w:val="000000"/>
                <w:lang w:eastAsia="es-MX"/>
              </w:rPr>
              <w:t>=93</w:t>
            </w:r>
          </w:p>
        </w:tc>
        <w:tc>
          <w:tcPr>
            <w:tcW w:w="1041" w:type="dxa"/>
            <w:vAlign w:val="bottom"/>
          </w:tcPr>
          <w:p w14:paraId="604DBF3C" w14:textId="77777777" w:rsidR="00940D15" w:rsidRPr="005A6D84" w:rsidRDefault="005A6D84" w:rsidP="00795601">
            <w:pPr>
              <w:jc w:val="center"/>
              <w:rPr>
                <w:b/>
                <w:bCs/>
                <w:color w:val="000000"/>
                <w:lang w:eastAsia="es-MX"/>
              </w:rPr>
            </w:pPr>
            <w:r>
              <w:rPr>
                <w:b/>
                <w:bCs/>
                <w:color w:val="000000"/>
                <w:lang w:eastAsia="es-MX"/>
              </w:rPr>
              <w:t xml:space="preserve"> 4               n</w:t>
            </w:r>
            <w:r w:rsidR="00940D15" w:rsidRPr="005A6D84">
              <w:rPr>
                <w:b/>
                <w:bCs/>
                <w:color w:val="000000"/>
                <w:lang w:eastAsia="es-MX"/>
              </w:rPr>
              <w:t>=72</w:t>
            </w:r>
          </w:p>
        </w:tc>
        <w:tc>
          <w:tcPr>
            <w:tcW w:w="1042" w:type="dxa"/>
            <w:vAlign w:val="bottom"/>
          </w:tcPr>
          <w:p w14:paraId="21AE3EC2" w14:textId="77777777" w:rsidR="00940D15" w:rsidRPr="005A6D84" w:rsidRDefault="00940D15" w:rsidP="00795601">
            <w:pPr>
              <w:jc w:val="center"/>
              <w:rPr>
                <w:b/>
                <w:bCs/>
                <w:color w:val="000000"/>
                <w:lang w:eastAsia="es-MX"/>
              </w:rPr>
            </w:pPr>
            <w:r w:rsidRPr="005A6D84">
              <w:rPr>
                <w:b/>
                <w:bCs/>
                <w:color w:val="000000"/>
                <w:lang w:eastAsia="es-MX"/>
              </w:rPr>
              <w:t>5</w:t>
            </w:r>
          </w:p>
          <w:p w14:paraId="34AA69C6" w14:textId="77777777" w:rsidR="00940D15" w:rsidRPr="005A6D84" w:rsidRDefault="005A6D84" w:rsidP="00795601">
            <w:pPr>
              <w:jc w:val="center"/>
              <w:rPr>
                <w:b/>
                <w:bCs/>
                <w:color w:val="000000"/>
                <w:lang w:eastAsia="es-MX"/>
              </w:rPr>
            </w:pPr>
            <w:r>
              <w:rPr>
                <w:b/>
                <w:bCs/>
                <w:color w:val="000000"/>
                <w:lang w:eastAsia="es-MX"/>
              </w:rPr>
              <w:t>n</w:t>
            </w:r>
            <w:r w:rsidR="00940D15" w:rsidRPr="005A6D84">
              <w:rPr>
                <w:b/>
                <w:bCs/>
                <w:color w:val="000000"/>
                <w:lang w:eastAsia="es-MX"/>
              </w:rPr>
              <w:t>=42</w:t>
            </w:r>
          </w:p>
        </w:tc>
        <w:tc>
          <w:tcPr>
            <w:tcW w:w="930" w:type="dxa"/>
            <w:gridSpan w:val="2"/>
            <w:vAlign w:val="bottom"/>
          </w:tcPr>
          <w:p w14:paraId="08A8ADD8" w14:textId="77777777" w:rsidR="00940D15" w:rsidRPr="005A6D84" w:rsidRDefault="005A6D84" w:rsidP="00795601">
            <w:pPr>
              <w:jc w:val="center"/>
              <w:rPr>
                <w:b/>
                <w:bCs/>
                <w:color w:val="000000"/>
                <w:lang w:eastAsia="es-MX"/>
              </w:rPr>
            </w:pPr>
            <w:r>
              <w:rPr>
                <w:b/>
                <w:bCs/>
                <w:color w:val="000000"/>
                <w:lang w:eastAsia="es-MX"/>
              </w:rPr>
              <w:t>6      n</w:t>
            </w:r>
            <w:r w:rsidR="00940D15" w:rsidRPr="005A6D84">
              <w:rPr>
                <w:b/>
                <w:bCs/>
                <w:color w:val="000000"/>
                <w:lang w:eastAsia="es-MX"/>
              </w:rPr>
              <w:t>=134</w:t>
            </w:r>
          </w:p>
        </w:tc>
        <w:tc>
          <w:tcPr>
            <w:tcW w:w="1044" w:type="dxa"/>
            <w:vAlign w:val="bottom"/>
          </w:tcPr>
          <w:p w14:paraId="4A21F3F0" w14:textId="77777777" w:rsidR="00940D15" w:rsidRPr="005A6D84" w:rsidRDefault="005A6D84" w:rsidP="00795601">
            <w:pPr>
              <w:jc w:val="center"/>
              <w:rPr>
                <w:b/>
                <w:bCs/>
                <w:color w:val="000000"/>
                <w:lang w:eastAsia="es-MX"/>
              </w:rPr>
            </w:pPr>
            <w:r>
              <w:rPr>
                <w:b/>
                <w:bCs/>
                <w:color w:val="000000"/>
                <w:lang w:eastAsia="es-MX"/>
              </w:rPr>
              <w:t>7        n</w:t>
            </w:r>
            <w:r w:rsidR="00940D15" w:rsidRPr="005A6D84">
              <w:rPr>
                <w:b/>
                <w:bCs/>
                <w:color w:val="000000"/>
                <w:lang w:eastAsia="es-MX"/>
              </w:rPr>
              <w:t>=34</w:t>
            </w:r>
          </w:p>
        </w:tc>
        <w:tc>
          <w:tcPr>
            <w:tcW w:w="1225" w:type="dxa"/>
            <w:vAlign w:val="bottom"/>
          </w:tcPr>
          <w:p w14:paraId="13980812" w14:textId="77777777" w:rsidR="00940D15" w:rsidRPr="005A6D84" w:rsidRDefault="00940D15" w:rsidP="00795601">
            <w:pPr>
              <w:jc w:val="center"/>
              <w:rPr>
                <w:b/>
                <w:bCs/>
                <w:color w:val="000000"/>
                <w:lang w:eastAsia="es-MX"/>
              </w:rPr>
            </w:pPr>
            <w:r w:rsidRPr="005A6D84">
              <w:rPr>
                <w:b/>
                <w:bCs/>
                <w:color w:val="000000"/>
                <w:lang w:eastAsia="es-MX"/>
              </w:rPr>
              <w:t xml:space="preserve">8      </w:t>
            </w:r>
          </w:p>
          <w:p w14:paraId="4A7A51C3" w14:textId="77777777" w:rsidR="00940D15" w:rsidRPr="005A6D84" w:rsidRDefault="005A6D84" w:rsidP="00795601">
            <w:pPr>
              <w:jc w:val="center"/>
              <w:rPr>
                <w:b/>
                <w:bCs/>
                <w:color w:val="000000"/>
                <w:lang w:eastAsia="es-MX"/>
              </w:rPr>
            </w:pPr>
            <w:r>
              <w:rPr>
                <w:b/>
                <w:bCs/>
                <w:color w:val="000000"/>
                <w:lang w:eastAsia="es-MX"/>
              </w:rPr>
              <w:t xml:space="preserve"> n</w:t>
            </w:r>
            <w:r w:rsidR="00940D15" w:rsidRPr="005A6D84">
              <w:rPr>
                <w:b/>
                <w:bCs/>
                <w:color w:val="000000"/>
                <w:lang w:eastAsia="es-MX"/>
              </w:rPr>
              <w:t>=71</w:t>
            </w:r>
          </w:p>
        </w:tc>
        <w:tc>
          <w:tcPr>
            <w:tcW w:w="1041" w:type="dxa"/>
            <w:vAlign w:val="bottom"/>
          </w:tcPr>
          <w:p w14:paraId="519F7AA8" w14:textId="77777777" w:rsidR="00940D15" w:rsidRPr="005A6D84" w:rsidRDefault="00940D15" w:rsidP="00795601">
            <w:pPr>
              <w:jc w:val="center"/>
              <w:rPr>
                <w:b/>
                <w:bCs/>
                <w:color w:val="000000"/>
                <w:lang w:eastAsia="es-MX"/>
              </w:rPr>
            </w:pPr>
            <w:r w:rsidRPr="005A6D84">
              <w:rPr>
                <w:b/>
                <w:bCs/>
                <w:color w:val="000000"/>
                <w:lang w:eastAsia="es-MX"/>
              </w:rPr>
              <w:t>9</w:t>
            </w:r>
          </w:p>
          <w:p w14:paraId="6E31708C" w14:textId="77777777" w:rsidR="00940D15" w:rsidRPr="005A6D84" w:rsidRDefault="00940D15" w:rsidP="00795601">
            <w:pPr>
              <w:jc w:val="center"/>
              <w:rPr>
                <w:b/>
                <w:bCs/>
                <w:color w:val="000000"/>
                <w:lang w:eastAsia="es-MX"/>
              </w:rPr>
            </w:pPr>
            <w:r w:rsidRPr="005A6D84">
              <w:rPr>
                <w:b/>
                <w:bCs/>
                <w:color w:val="000000"/>
                <w:lang w:eastAsia="es-MX"/>
              </w:rPr>
              <w:t>N/A</w:t>
            </w:r>
          </w:p>
        </w:tc>
        <w:tc>
          <w:tcPr>
            <w:tcW w:w="1042" w:type="dxa"/>
            <w:vAlign w:val="bottom"/>
          </w:tcPr>
          <w:p w14:paraId="79B78BD0" w14:textId="77777777" w:rsidR="00940D15" w:rsidRPr="005A6D84" w:rsidRDefault="005A6D84" w:rsidP="00795601">
            <w:pPr>
              <w:jc w:val="center"/>
              <w:rPr>
                <w:b/>
                <w:bCs/>
                <w:color w:val="000000"/>
                <w:lang w:eastAsia="es-MX"/>
              </w:rPr>
            </w:pPr>
            <w:r>
              <w:rPr>
                <w:b/>
                <w:bCs/>
                <w:color w:val="000000"/>
                <w:lang w:eastAsia="es-MX"/>
              </w:rPr>
              <w:t>10           n</w:t>
            </w:r>
            <w:r w:rsidR="00940D15" w:rsidRPr="005A6D84">
              <w:rPr>
                <w:b/>
                <w:bCs/>
                <w:color w:val="000000"/>
                <w:lang w:eastAsia="es-MX"/>
              </w:rPr>
              <w:t>=65</w:t>
            </w:r>
          </w:p>
        </w:tc>
        <w:tc>
          <w:tcPr>
            <w:tcW w:w="1041" w:type="dxa"/>
            <w:vAlign w:val="bottom"/>
          </w:tcPr>
          <w:p w14:paraId="117BAC91" w14:textId="77777777" w:rsidR="00940D15" w:rsidRPr="005A6D84" w:rsidRDefault="005A6D84" w:rsidP="00795601">
            <w:pPr>
              <w:jc w:val="center"/>
              <w:rPr>
                <w:b/>
                <w:bCs/>
                <w:color w:val="000000"/>
                <w:lang w:eastAsia="es-MX"/>
              </w:rPr>
            </w:pPr>
            <w:r>
              <w:rPr>
                <w:b/>
                <w:bCs/>
                <w:color w:val="000000"/>
                <w:lang w:eastAsia="es-MX"/>
              </w:rPr>
              <w:t>11       n</w:t>
            </w:r>
            <w:r w:rsidR="00940D15" w:rsidRPr="005A6D84">
              <w:rPr>
                <w:b/>
                <w:bCs/>
                <w:color w:val="000000"/>
                <w:lang w:eastAsia="es-MX"/>
              </w:rPr>
              <w:t>=58</w:t>
            </w:r>
          </w:p>
        </w:tc>
        <w:tc>
          <w:tcPr>
            <w:tcW w:w="1042" w:type="dxa"/>
            <w:vAlign w:val="bottom"/>
          </w:tcPr>
          <w:p w14:paraId="5097EFD8" w14:textId="77777777" w:rsidR="00940D15" w:rsidRPr="005A6D84" w:rsidRDefault="00940D15" w:rsidP="00795601">
            <w:pPr>
              <w:jc w:val="center"/>
              <w:rPr>
                <w:b/>
                <w:bCs/>
                <w:color w:val="000000"/>
                <w:lang w:eastAsia="es-MX"/>
              </w:rPr>
            </w:pPr>
            <w:r w:rsidRPr="005A6D84">
              <w:rPr>
                <w:b/>
                <w:bCs/>
                <w:color w:val="000000"/>
                <w:lang w:eastAsia="es-MX"/>
              </w:rPr>
              <w:t>12</w:t>
            </w:r>
          </w:p>
          <w:p w14:paraId="6FD92202" w14:textId="77777777" w:rsidR="00940D15" w:rsidRPr="005A6D84" w:rsidRDefault="005A6D84" w:rsidP="00795601">
            <w:pPr>
              <w:jc w:val="center"/>
              <w:rPr>
                <w:b/>
                <w:bCs/>
                <w:color w:val="000000"/>
                <w:lang w:eastAsia="es-MX"/>
              </w:rPr>
            </w:pPr>
            <w:r>
              <w:rPr>
                <w:b/>
                <w:bCs/>
                <w:color w:val="000000"/>
                <w:lang w:eastAsia="es-MX"/>
              </w:rPr>
              <w:t>n</w:t>
            </w:r>
            <w:r w:rsidR="00940D15" w:rsidRPr="005A6D84">
              <w:rPr>
                <w:b/>
                <w:bCs/>
                <w:color w:val="000000"/>
                <w:lang w:eastAsia="es-MX"/>
              </w:rPr>
              <w:t>=253</w:t>
            </w:r>
          </w:p>
        </w:tc>
        <w:tc>
          <w:tcPr>
            <w:tcW w:w="1142" w:type="dxa"/>
            <w:vAlign w:val="bottom"/>
          </w:tcPr>
          <w:p w14:paraId="77FAA02F" w14:textId="77777777" w:rsidR="00940D15" w:rsidRPr="005A6D84" w:rsidRDefault="00940D15" w:rsidP="00795601">
            <w:pPr>
              <w:jc w:val="center"/>
              <w:rPr>
                <w:b/>
                <w:bCs/>
                <w:color w:val="000000"/>
                <w:lang w:eastAsia="es-MX"/>
              </w:rPr>
            </w:pPr>
            <w:r w:rsidRPr="005A6D84">
              <w:rPr>
                <w:b/>
                <w:bCs/>
                <w:color w:val="000000"/>
                <w:lang w:eastAsia="es-MX"/>
              </w:rPr>
              <w:t>Pima County</w:t>
            </w:r>
          </w:p>
        </w:tc>
      </w:tr>
      <w:tr w:rsidR="00940D15" w:rsidRPr="005A6D84" w14:paraId="041B85C4" w14:textId="77777777">
        <w:trPr>
          <w:trHeight w:val="234"/>
          <w:jc w:val="center"/>
        </w:trPr>
        <w:tc>
          <w:tcPr>
            <w:tcW w:w="15155" w:type="dxa"/>
            <w:gridSpan w:val="15"/>
            <w:shd w:val="clear" w:color="auto" w:fill="D9D9D9"/>
            <w:vAlign w:val="bottom"/>
          </w:tcPr>
          <w:p w14:paraId="03B2F988" w14:textId="77777777" w:rsidR="00940D15" w:rsidRPr="005A6D84" w:rsidRDefault="00940D15" w:rsidP="00795601">
            <w:pPr>
              <w:jc w:val="center"/>
              <w:rPr>
                <w:color w:val="000000"/>
                <w:lang w:eastAsia="es-MX"/>
              </w:rPr>
            </w:pPr>
            <w:r w:rsidRPr="005A6D84">
              <w:rPr>
                <w:b/>
                <w:bCs/>
                <w:color w:val="000000"/>
                <w:sz w:val="22"/>
                <w:szCs w:val="22"/>
                <w:lang w:eastAsia="es-MX"/>
              </w:rPr>
              <w:t>Demographics (Census data)</w:t>
            </w:r>
          </w:p>
        </w:tc>
      </w:tr>
      <w:tr w:rsidR="00940D15" w:rsidRPr="005A6D84" w14:paraId="729F90F3" w14:textId="77777777">
        <w:trPr>
          <w:trHeight w:val="261"/>
          <w:jc w:val="center"/>
        </w:trPr>
        <w:tc>
          <w:tcPr>
            <w:tcW w:w="1800" w:type="dxa"/>
            <w:vAlign w:val="bottom"/>
          </w:tcPr>
          <w:p w14:paraId="2EE75BE3" w14:textId="77777777" w:rsidR="00940D15" w:rsidRPr="005A6D84" w:rsidRDefault="00940D15" w:rsidP="00795601">
            <w:pPr>
              <w:rPr>
                <w:color w:val="000000"/>
                <w:lang w:eastAsia="es-MX"/>
              </w:rPr>
            </w:pPr>
            <w:r w:rsidRPr="005A6D84">
              <w:rPr>
                <w:color w:val="000000"/>
                <w:sz w:val="22"/>
                <w:szCs w:val="22"/>
                <w:lang w:eastAsia="es-MX"/>
              </w:rPr>
              <w:t>Population</w:t>
            </w:r>
          </w:p>
        </w:tc>
        <w:tc>
          <w:tcPr>
            <w:tcW w:w="900" w:type="dxa"/>
            <w:vAlign w:val="bottom"/>
          </w:tcPr>
          <w:p w14:paraId="7CBCE954" w14:textId="77777777" w:rsidR="00940D15" w:rsidRPr="005A6D84" w:rsidRDefault="00940D15" w:rsidP="00795601">
            <w:pPr>
              <w:jc w:val="center"/>
              <w:rPr>
                <w:color w:val="000000"/>
                <w:lang w:eastAsia="es-MX"/>
              </w:rPr>
            </w:pPr>
            <w:r w:rsidRPr="005A6D84">
              <w:rPr>
                <w:color w:val="000000"/>
                <w:sz w:val="22"/>
                <w:szCs w:val="22"/>
                <w:lang w:eastAsia="es-MX"/>
              </w:rPr>
              <w:t>3,253</w:t>
            </w:r>
          </w:p>
        </w:tc>
        <w:tc>
          <w:tcPr>
            <w:tcW w:w="900" w:type="dxa"/>
            <w:vAlign w:val="bottom"/>
          </w:tcPr>
          <w:p w14:paraId="765041DC" w14:textId="77777777" w:rsidR="00940D15" w:rsidRPr="005A6D84" w:rsidRDefault="00940D15" w:rsidP="00795601">
            <w:pPr>
              <w:jc w:val="center"/>
              <w:rPr>
                <w:color w:val="000000"/>
                <w:lang w:eastAsia="es-MX"/>
              </w:rPr>
            </w:pPr>
            <w:r w:rsidRPr="005A6D84">
              <w:rPr>
                <w:color w:val="000000"/>
                <w:sz w:val="22"/>
                <w:szCs w:val="22"/>
                <w:lang w:eastAsia="es-MX"/>
              </w:rPr>
              <w:t>11,678</w:t>
            </w:r>
          </w:p>
        </w:tc>
        <w:tc>
          <w:tcPr>
            <w:tcW w:w="965" w:type="dxa"/>
            <w:vAlign w:val="bottom"/>
          </w:tcPr>
          <w:p w14:paraId="7FFB88FB" w14:textId="77777777" w:rsidR="00940D15" w:rsidRPr="005A6D84" w:rsidRDefault="00940D15" w:rsidP="00795601">
            <w:pPr>
              <w:jc w:val="center"/>
              <w:rPr>
                <w:color w:val="000000"/>
                <w:lang w:eastAsia="es-MX"/>
              </w:rPr>
            </w:pPr>
            <w:r w:rsidRPr="005A6D84">
              <w:rPr>
                <w:color w:val="000000"/>
                <w:sz w:val="22"/>
                <w:szCs w:val="22"/>
                <w:lang w:eastAsia="es-MX"/>
              </w:rPr>
              <w:t>14,815</w:t>
            </w:r>
          </w:p>
        </w:tc>
        <w:tc>
          <w:tcPr>
            <w:tcW w:w="1041" w:type="dxa"/>
            <w:vAlign w:val="bottom"/>
          </w:tcPr>
          <w:p w14:paraId="6FC31352" w14:textId="77777777" w:rsidR="00940D15" w:rsidRPr="005A6D84" w:rsidRDefault="00940D15" w:rsidP="00795601">
            <w:pPr>
              <w:jc w:val="center"/>
              <w:rPr>
                <w:color w:val="000000"/>
                <w:lang w:eastAsia="es-MX"/>
              </w:rPr>
            </w:pPr>
            <w:r w:rsidRPr="005A6D84">
              <w:rPr>
                <w:color w:val="000000"/>
                <w:sz w:val="22"/>
                <w:szCs w:val="22"/>
                <w:lang w:eastAsia="es-MX"/>
              </w:rPr>
              <w:t>5,432</w:t>
            </w:r>
          </w:p>
        </w:tc>
        <w:tc>
          <w:tcPr>
            <w:tcW w:w="1072" w:type="dxa"/>
            <w:gridSpan w:val="2"/>
            <w:vAlign w:val="bottom"/>
          </w:tcPr>
          <w:p w14:paraId="29C920A9" w14:textId="77777777" w:rsidR="00940D15" w:rsidRPr="005A6D84" w:rsidRDefault="00940D15" w:rsidP="00795601">
            <w:pPr>
              <w:jc w:val="center"/>
              <w:rPr>
                <w:color w:val="000000"/>
                <w:lang w:eastAsia="es-MX"/>
              </w:rPr>
            </w:pPr>
            <w:r w:rsidRPr="005A6D84">
              <w:rPr>
                <w:color w:val="000000"/>
                <w:sz w:val="22"/>
                <w:szCs w:val="22"/>
                <w:lang w:eastAsia="es-MX"/>
              </w:rPr>
              <w:t>23,991</w:t>
            </w:r>
          </w:p>
        </w:tc>
        <w:tc>
          <w:tcPr>
            <w:tcW w:w="900" w:type="dxa"/>
            <w:vAlign w:val="bottom"/>
          </w:tcPr>
          <w:p w14:paraId="23F6AE37" w14:textId="77777777" w:rsidR="00940D15" w:rsidRPr="005A6D84" w:rsidRDefault="00940D15" w:rsidP="00795601">
            <w:pPr>
              <w:jc w:val="center"/>
              <w:rPr>
                <w:color w:val="000000"/>
                <w:lang w:eastAsia="es-MX"/>
              </w:rPr>
            </w:pPr>
            <w:r w:rsidRPr="005A6D84">
              <w:rPr>
                <w:color w:val="000000"/>
                <w:sz w:val="22"/>
                <w:szCs w:val="22"/>
                <w:lang w:eastAsia="es-MX"/>
              </w:rPr>
              <w:t>12,457</w:t>
            </w:r>
          </w:p>
        </w:tc>
        <w:tc>
          <w:tcPr>
            <w:tcW w:w="1044" w:type="dxa"/>
            <w:vAlign w:val="bottom"/>
          </w:tcPr>
          <w:p w14:paraId="49863E02" w14:textId="77777777" w:rsidR="00940D15" w:rsidRPr="005A6D84" w:rsidRDefault="00940D15" w:rsidP="00795601">
            <w:pPr>
              <w:jc w:val="center"/>
              <w:rPr>
                <w:color w:val="000000"/>
                <w:lang w:eastAsia="es-MX"/>
              </w:rPr>
            </w:pPr>
            <w:r w:rsidRPr="005A6D84">
              <w:rPr>
                <w:color w:val="000000"/>
                <w:sz w:val="22"/>
                <w:szCs w:val="22"/>
                <w:lang w:eastAsia="es-MX"/>
              </w:rPr>
              <w:t>7,792</w:t>
            </w:r>
          </w:p>
        </w:tc>
        <w:tc>
          <w:tcPr>
            <w:tcW w:w="1225" w:type="dxa"/>
            <w:vAlign w:val="bottom"/>
          </w:tcPr>
          <w:p w14:paraId="3E05BE40" w14:textId="77777777" w:rsidR="00940D15" w:rsidRPr="005A6D84" w:rsidRDefault="00940D15" w:rsidP="00795601">
            <w:pPr>
              <w:jc w:val="center"/>
              <w:rPr>
                <w:color w:val="000000"/>
                <w:lang w:eastAsia="es-MX"/>
              </w:rPr>
            </w:pPr>
            <w:r w:rsidRPr="005A6D84">
              <w:rPr>
                <w:color w:val="000000"/>
                <w:sz w:val="22"/>
                <w:szCs w:val="22"/>
                <w:lang w:eastAsia="es-MX"/>
              </w:rPr>
              <w:t>13,954</w:t>
            </w:r>
          </w:p>
        </w:tc>
        <w:tc>
          <w:tcPr>
            <w:tcW w:w="1041" w:type="dxa"/>
            <w:vAlign w:val="bottom"/>
          </w:tcPr>
          <w:p w14:paraId="7D6069D3" w14:textId="77777777" w:rsidR="00940D15" w:rsidRPr="005A6D84" w:rsidRDefault="00940D15" w:rsidP="00795601">
            <w:pPr>
              <w:jc w:val="center"/>
              <w:rPr>
                <w:color w:val="000000"/>
                <w:lang w:eastAsia="es-MX"/>
              </w:rPr>
            </w:pPr>
            <w:r w:rsidRPr="005A6D84">
              <w:rPr>
                <w:color w:val="000000"/>
                <w:sz w:val="22"/>
                <w:szCs w:val="22"/>
                <w:lang w:eastAsia="es-MX"/>
              </w:rPr>
              <w:t>5,918</w:t>
            </w:r>
          </w:p>
        </w:tc>
        <w:tc>
          <w:tcPr>
            <w:tcW w:w="1042" w:type="dxa"/>
            <w:vAlign w:val="bottom"/>
          </w:tcPr>
          <w:p w14:paraId="76C8B5EA" w14:textId="77777777" w:rsidR="00940D15" w:rsidRPr="005A6D84" w:rsidRDefault="00940D15" w:rsidP="00795601">
            <w:pPr>
              <w:jc w:val="center"/>
              <w:rPr>
                <w:color w:val="000000"/>
                <w:lang w:eastAsia="es-MX"/>
              </w:rPr>
            </w:pPr>
            <w:r w:rsidRPr="005A6D84">
              <w:rPr>
                <w:color w:val="000000"/>
                <w:sz w:val="22"/>
                <w:szCs w:val="22"/>
                <w:lang w:eastAsia="es-MX"/>
              </w:rPr>
              <w:t>8,125</w:t>
            </w:r>
          </w:p>
        </w:tc>
        <w:tc>
          <w:tcPr>
            <w:tcW w:w="1041" w:type="dxa"/>
            <w:vAlign w:val="bottom"/>
          </w:tcPr>
          <w:p w14:paraId="0CF7D25D" w14:textId="77777777" w:rsidR="00940D15" w:rsidRPr="005A6D84" w:rsidRDefault="00940D15" w:rsidP="00795601">
            <w:pPr>
              <w:jc w:val="center"/>
              <w:rPr>
                <w:color w:val="000000"/>
                <w:lang w:eastAsia="es-MX"/>
              </w:rPr>
            </w:pPr>
            <w:r w:rsidRPr="005A6D84">
              <w:rPr>
                <w:color w:val="000000"/>
                <w:sz w:val="22"/>
                <w:szCs w:val="22"/>
                <w:lang w:eastAsia="es-MX"/>
              </w:rPr>
              <w:t>33,084</w:t>
            </w:r>
          </w:p>
        </w:tc>
        <w:tc>
          <w:tcPr>
            <w:tcW w:w="1042" w:type="dxa"/>
            <w:vAlign w:val="bottom"/>
          </w:tcPr>
          <w:p w14:paraId="1A4DF31C" w14:textId="77777777" w:rsidR="00940D15" w:rsidRPr="005A6D84" w:rsidRDefault="00940D15" w:rsidP="00795601">
            <w:pPr>
              <w:jc w:val="center"/>
              <w:rPr>
                <w:color w:val="000000"/>
                <w:lang w:eastAsia="es-MX"/>
              </w:rPr>
            </w:pPr>
            <w:r w:rsidRPr="005A6D84">
              <w:rPr>
                <w:color w:val="000000"/>
                <w:sz w:val="22"/>
                <w:szCs w:val="22"/>
                <w:lang w:eastAsia="es-MX"/>
              </w:rPr>
              <w:t>11,099</w:t>
            </w:r>
          </w:p>
        </w:tc>
        <w:tc>
          <w:tcPr>
            <w:tcW w:w="1142" w:type="dxa"/>
            <w:vAlign w:val="bottom"/>
          </w:tcPr>
          <w:p w14:paraId="3B742AED" w14:textId="77777777" w:rsidR="00940D15" w:rsidRPr="005A6D84" w:rsidRDefault="00940D15" w:rsidP="00795601">
            <w:pPr>
              <w:jc w:val="center"/>
              <w:rPr>
                <w:color w:val="000000"/>
                <w:lang w:eastAsia="es-MX"/>
              </w:rPr>
            </w:pPr>
            <w:r w:rsidRPr="005A6D84">
              <w:rPr>
                <w:color w:val="000000"/>
                <w:sz w:val="22"/>
                <w:szCs w:val="22"/>
                <w:lang w:eastAsia="es-MX"/>
              </w:rPr>
              <w:t>990,213</w:t>
            </w:r>
          </w:p>
        </w:tc>
      </w:tr>
      <w:tr w:rsidR="00940D15" w:rsidRPr="005A6D84" w14:paraId="15BD662A" w14:textId="77777777">
        <w:trPr>
          <w:trHeight w:val="306"/>
          <w:jc w:val="center"/>
        </w:trPr>
        <w:tc>
          <w:tcPr>
            <w:tcW w:w="1800" w:type="dxa"/>
            <w:vAlign w:val="bottom"/>
          </w:tcPr>
          <w:p w14:paraId="6E88A5B9" w14:textId="77777777" w:rsidR="00940D15" w:rsidRPr="005A6D84" w:rsidRDefault="00940D15" w:rsidP="00795601">
            <w:pPr>
              <w:rPr>
                <w:color w:val="000000"/>
                <w:lang w:eastAsia="es-MX"/>
              </w:rPr>
            </w:pPr>
            <w:r w:rsidRPr="005A6D84">
              <w:rPr>
                <w:color w:val="000000"/>
                <w:sz w:val="22"/>
                <w:szCs w:val="22"/>
                <w:lang w:eastAsia="es-MX"/>
              </w:rPr>
              <w:t xml:space="preserve">Land area </w:t>
            </w:r>
          </w:p>
          <w:p w14:paraId="0B4A9655" w14:textId="77777777" w:rsidR="00940D15" w:rsidRPr="005A6D84" w:rsidRDefault="00940D15" w:rsidP="00795601">
            <w:pPr>
              <w:rPr>
                <w:color w:val="000000"/>
                <w:lang w:eastAsia="es-MX"/>
              </w:rPr>
            </w:pPr>
            <w:r w:rsidRPr="005A6D84">
              <w:rPr>
                <w:color w:val="000000"/>
                <w:sz w:val="22"/>
                <w:szCs w:val="22"/>
                <w:lang w:eastAsia="es-MX"/>
              </w:rPr>
              <w:t>(square mile)</w:t>
            </w:r>
          </w:p>
        </w:tc>
        <w:tc>
          <w:tcPr>
            <w:tcW w:w="900" w:type="dxa"/>
            <w:vAlign w:val="bottom"/>
          </w:tcPr>
          <w:p w14:paraId="4775F28D" w14:textId="77777777" w:rsidR="00940D15" w:rsidRPr="005A6D84" w:rsidRDefault="00940D15" w:rsidP="00795601">
            <w:pPr>
              <w:jc w:val="center"/>
              <w:rPr>
                <w:color w:val="000000"/>
                <w:lang w:eastAsia="es-MX"/>
              </w:rPr>
            </w:pPr>
            <w:r w:rsidRPr="005A6D84">
              <w:rPr>
                <w:color w:val="000000"/>
                <w:sz w:val="22"/>
                <w:szCs w:val="22"/>
                <w:lang w:eastAsia="es-MX"/>
              </w:rPr>
              <w:t>9</w:t>
            </w:r>
          </w:p>
        </w:tc>
        <w:tc>
          <w:tcPr>
            <w:tcW w:w="900" w:type="dxa"/>
            <w:vAlign w:val="bottom"/>
          </w:tcPr>
          <w:p w14:paraId="12E6E37E" w14:textId="77777777" w:rsidR="00940D15" w:rsidRPr="005A6D84" w:rsidRDefault="00940D15" w:rsidP="00795601">
            <w:pPr>
              <w:jc w:val="center"/>
              <w:rPr>
                <w:color w:val="000000"/>
                <w:lang w:eastAsia="es-MX"/>
              </w:rPr>
            </w:pPr>
            <w:r w:rsidRPr="005A6D84">
              <w:rPr>
                <w:color w:val="000000"/>
                <w:sz w:val="22"/>
                <w:szCs w:val="22"/>
                <w:lang w:eastAsia="es-MX"/>
              </w:rPr>
              <w:t>1.5</w:t>
            </w:r>
          </w:p>
        </w:tc>
        <w:tc>
          <w:tcPr>
            <w:tcW w:w="965" w:type="dxa"/>
            <w:vAlign w:val="bottom"/>
          </w:tcPr>
          <w:p w14:paraId="3EB20B33" w14:textId="77777777" w:rsidR="00940D15" w:rsidRPr="005A6D84" w:rsidRDefault="00940D15" w:rsidP="00795601">
            <w:pPr>
              <w:jc w:val="center"/>
              <w:rPr>
                <w:color w:val="000000"/>
                <w:lang w:eastAsia="es-MX"/>
              </w:rPr>
            </w:pPr>
            <w:r w:rsidRPr="005A6D84">
              <w:rPr>
                <w:color w:val="000000"/>
                <w:sz w:val="22"/>
                <w:szCs w:val="22"/>
                <w:lang w:eastAsia="es-MX"/>
              </w:rPr>
              <w:t>1.63</w:t>
            </w:r>
          </w:p>
        </w:tc>
        <w:tc>
          <w:tcPr>
            <w:tcW w:w="1041" w:type="dxa"/>
            <w:vAlign w:val="bottom"/>
          </w:tcPr>
          <w:p w14:paraId="4F6486BB" w14:textId="77777777" w:rsidR="00940D15" w:rsidRPr="005A6D84" w:rsidRDefault="00940D15" w:rsidP="00795601">
            <w:pPr>
              <w:jc w:val="center"/>
              <w:rPr>
                <w:color w:val="000000"/>
                <w:lang w:eastAsia="es-MX"/>
              </w:rPr>
            </w:pPr>
            <w:r w:rsidRPr="005A6D84">
              <w:rPr>
                <w:color w:val="000000"/>
                <w:sz w:val="22"/>
                <w:szCs w:val="22"/>
                <w:lang w:eastAsia="es-MX"/>
              </w:rPr>
              <w:t>0.5</w:t>
            </w:r>
          </w:p>
        </w:tc>
        <w:tc>
          <w:tcPr>
            <w:tcW w:w="1072" w:type="dxa"/>
            <w:gridSpan w:val="2"/>
            <w:vAlign w:val="bottom"/>
          </w:tcPr>
          <w:p w14:paraId="5E91A0A7" w14:textId="77777777" w:rsidR="00940D15" w:rsidRPr="005A6D84" w:rsidRDefault="00940D15" w:rsidP="00795601">
            <w:pPr>
              <w:jc w:val="center"/>
              <w:rPr>
                <w:color w:val="000000"/>
                <w:lang w:eastAsia="es-MX"/>
              </w:rPr>
            </w:pPr>
            <w:r w:rsidRPr="005A6D84">
              <w:rPr>
                <w:color w:val="000000"/>
                <w:sz w:val="22"/>
                <w:szCs w:val="22"/>
                <w:lang w:eastAsia="es-MX"/>
              </w:rPr>
              <w:t>6</w:t>
            </w:r>
          </w:p>
        </w:tc>
        <w:tc>
          <w:tcPr>
            <w:tcW w:w="900" w:type="dxa"/>
            <w:vAlign w:val="bottom"/>
          </w:tcPr>
          <w:p w14:paraId="13CD1604"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044" w:type="dxa"/>
            <w:vAlign w:val="bottom"/>
          </w:tcPr>
          <w:p w14:paraId="3DD247C8"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225" w:type="dxa"/>
            <w:vAlign w:val="bottom"/>
          </w:tcPr>
          <w:p w14:paraId="4718A390"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041" w:type="dxa"/>
            <w:vAlign w:val="bottom"/>
          </w:tcPr>
          <w:p w14:paraId="1747B856" w14:textId="77777777" w:rsidR="00940D15" w:rsidRPr="005A6D84" w:rsidRDefault="00940D15" w:rsidP="00795601">
            <w:pPr>
              <w:jc w:val="center"/>
              <w:rPr>
                <w:color w:val="000000"/>
                <w:lang w:eastAsia="es-MX"/>
              </w:rPr>
            </w:pPr>
            <w:r w:rsidRPr="005A6D84">
              <w:rPr>
                <w:color w:val="000000"/>
                <w:sz w:val="22"/>
                <w:szCs w:val="22"/>
                <w:lang w:eastAsia="es-MX"/>
              </w:rPr>
              <w:t>1.3</w:t>
            </w:r>
          </w:p>
        </w:tc>
        <w:tc>
          <w:tcPr>
            <w:tcW w:w="1042" w:type="dxa"/>
            <w:vAlign w:val="bottom"/>
          </w:tcPr>
          <w:p w14:paraId="357779BC" w14:textId="77777777" w:rsidR="00940D15" w:rsidRPr="005A6D84" w:rsidRDefault="00940D15" w:rsidP="00795601">
            <w:pPr>
              <w:jc w:val="center"/>
              <w:rPr>
                <w:color w:val="000000"/>
                <w:lang w:eastAsia="es-MX"/>
              </w:rPr>
            </w:pPr>
            <w:r w:rsidRPr="005A6D84">
              <w:rPr>
                <w:color w:val="000000"/>
                <w:sz w:val="22"/>
                <w:szCs w:val="22"/>
                <w:lang w:eastAsia="es-MX"/>
              </w:rPr>
              <w:t>1.5</w:t>
            </w:r>
          </w:p>
        </w:tc>
        <w:tc>
          <w:tcPr>
            <w:tcW w:w="1041" w:type="dxa"/>
            <w:vAlign w:val="bottom"/>
          </w:tcPr>
          <w:p w14:paraId="4385E781" w14:textId="77777777" w:rsidR="00940D15" w:rsidRPr="005A6D84" w:rsidRDefault="00940D15" w:rsidP="00795601">
            <w:pPr>
              <w:jc w:val="center"/>
              <w:rPr>
                <w:color w:val="000000"/>
                <w:lang w:eastAsia="es-MX"/>
              </w:rPr>
            </w:pPr>
            <w:r w:rsidRPr="005A6D84">
              <w:rPr>
                <w:color w:val="000000"/>
                <w:sz w:val="22"/>
                <w:szCs w:val="22"/>
                <w:lang w:eastAsia="es-MX"/>
              </w:rPr>
              <w:t>4.3</w:t>
            </w:r>
          </w:p>
        </w:tc>
        <w:tc>
          <w:tcPr>
            <w:tcW w:w="1042" w:type="dxa"/>
            <w:vAlign w:val="bottom"/>
          </w:tcPr>
          <w:p w14:paraId="030F2146"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142" w:type="dxa"/>
            <w:vAlign w:val="bottom"/>
          </w:tcPr>
          <w:p w14:paraId="767C32FF" w14:textId="77777777" w:rsidR="00940D15" w:rsidRPr="005A6D84" w:rsidRDefault="00940D15" w:rsidP="00795601">
            <w:pPr>
              <w:jc w:val="center"/>
              <w:rPr>
                <w:color w:val="000000"/>
                <w:lang w:eastAsia="es-MX"/>
              </w:rPr>
            </w:pPr>
          </w:p>
        </w:tc>
      </w:tr>
      <w:tr w:rsidR="00940D15" w:rsidRPr="005A6D84" w14:paraId="06EFF820" w14:textId="77777777">
        <w:trPr>
          <w:trHeight w:val="261"/>
          <w:jc w:val="center"/>
        </w:trPr>
        <w:tc>
          <w:tcPr>
            <w:tcW w:w="1800" w:type="dxa"/>
            <w:vAlign w:val="bottom"/>
          </w:tcPr>
          <w:p w14:paraId="1E0517AD" w14:textId="77777777" w:rsidR="00940D15" w:rsidRPr="005A6D84" w:rsidRDefault="00940D15" w:rsidP="00795601">
            <w:pPr>
              <w:rPr>
                <w:color w:val="000000"/>
                <w:lang w:eastAsia="es-MX"/>
              </w:rPr>
            </w:pPr>
            <w:r w:rsidRPr="005A6D84">
              <w:rPr>
                <w:color w:val="000000"/>
                <w:sz w:val="22"/>
                <w:szCs w:val="22"/>
                <w:lang w:eastAsia="es-MX"/>
              </w:rPr>
              <w:t>Hispanic</w:t>
            </w:r>
          </w:p>
        </w:tc>
        <w:tc>
          <w:tcPr>
            <w:tcW w:w="900" w:type="dxa"/>
            <w:vAlign w:val="bottom"/>
          </w:tcPr>
          <w:p w14:paraId="446A0716" w14:textId="77777777" w:rsidR="00940D15" w:rsidRPr="005A6D84" w:rsidRDefault="00940D15" w:rsidP="00795601">
            <w:pPr>
              <w:jc w:val="center"/>
              <w:rPr>
                <w:color w:val="000000"/>
                <w:lang w:eastAsia="es-MX"/>
              </w:rPr>
            </w:pPr>
            <w:r w:rsidRPr="005A6D84">
              <w:rPr>
                <w:color w:val="000000"/>
                <w:sz w:val="22"/>
                <w:szCs w:val="22"/>
                <w:lang w:eastAsia="es-MX"/>
              </w:rPr>
              <w:t>47.1%</w:t>
            </w:r>
          </w:p>
        </w:tc>
        <w:tc>
          <w:tcPr>
            <w:tcW w:w="900" w:type="dxa"/>
            <w:vAlign w:val="bottom"/>
          </w:tcPr>
          <w:p w14:paraId="329EBC85" w14:textId="77777777" w:rsidR="00940D15" w:rsidRPr="005A6D84" w:rsidRDefault="00940D15" w:rsidP="00795601">
            <w:pPr>
              <w:jc w:val="center"/>
              <w:rPr>
                <w:color w:val="000000"/>
                <w:lang w:eastAsia="es-MX"/>
              </w:rPr>
            </w:pPr>
            <w:r w:rsidRPr="005A6D84">
              <w:rPr>
                <w:color w:val="000000"/>
                <w:sz w:val="22"/>
                <w:szCs w:val="22"/>
                <w:lang w:eastAsia="es-MX"/>
              </w:rPr>
              <w:t>48.6%</w:t>
            </w:r>
          </w:p>
        </w:tc>
        <w:tc>
          <w:tcPr>
            <w:tcW w:w="965" w:type="dxa"/>
            <w:vAlign w:val="bottom"/>
          </w:tcPr>
          <w:p w14:paraId="0EB318E1" w14:textId="77777777" w:rsidR="00940D15" w:rsidRPr="005A6D84" w:rsidRDefault="00940D15" w:rsidP="00795601">
            <w:pPr>
              <w:jc w:val="center"/>
              <w:rPr>
                <w:color w:val="000000"/>
                <w:lang w:eastAsia="es-MX"/>
              </w:rPr>
            </w:pPr>
            <w:r w:rsidRPr="005A6D84">
              <w:rPr>
                <w:color w:val="000000"/>
                <w:sz w:val="22"/>
                <w:szCs w:val="22"/>
                <w:lang w:eastAsia="es-MX"/>
              </w:rPr>
              <w:t>46.7%</w:t>
            </w:r>
          </w:p>
        </w:tc>
        <w:tc>
          <w:tcPr>
            <w:tcW w:w="1041" w:type="dxa"/>
            <w:vAlign w:val="bottom"/>
          </w:tcPr>
          <w:p w14:paraId="07CE2C0F" w14:textId="77777777" w:rsidR="00940D15" w:rsidRPr="005A6D84" w:rsidRDefault="00940D15" w:rsidP="00795601">
            <w:pPr>
              <w:jc w:val="center"/>
              <w:rPr>
                <w:color w:val="000000"/>
                <w:lang w:eastAsia="es-MX"/>
              </w:rPr>
            </w:pPr>
            <w:r w:rsidRPr="005A6D84">
              <w:rPr>
                <w:color w:val="000000"/>
                <w:sz w:val="22"/>
                <w:szCs w:val="22"/>
                <w:lang w:eastAsia="es-MX"/>
              </w:rPr>
              <w:t>25.2%</w:t>
            </w:r>
          </w:p>
        </w:tc>
        <w:tc>
          <w:tcPr>
            <w:tcW w:w="1072" w:type="dxa"/>
            <w:gridSpan w:val="2"/>
            <w:vAlign w:val="bottom"/>
          </w:tcPr>
          <w:p w14:paraId="0B7CF765" w14:textId="77777777" w:rsidR="00940D15" w:rsidRPr="005A6D84" w:rsidRDefault="00940D15" w:rsidP="00795601">
            <w:pPr>
              <w:jc w:val="center"/>
              <w:rPr>
                <w:color w:val="000000"/>
                <w:lang w:eastAsia="es-MX"/>
              </w:rPr>
            </w:pPr>
            <w:r w:rsidRPr="005A6D84">
              <w:rPr>
                <w:color w:val="000000"/>
                <w:sz w:val="22"/>
                <w:szCs w:val="22"/>
                <w:lang w:eastAsia="es-MX"/>
              </w:rPr>
              <w:t>35.0%</w:t>
            </w:r>
          </w:p>
        </w:tc>
        <w:tc>
          <w:tcPr>
            <w:tcW w:w="900" w:type="dxa"/>
            <w:vAlign w:val="bottom"/>
          </w:tcPr>
          <w:p w14:paraId="542B9D28" w14:textId="77777777" w:rsidR="00940D15" w:rsidRPr="005A6D84" w:rsidRDefault="00940D15" w:rsidP="00795601">
            <w:pPr>
              <w:jc w:val="center"/>
              <w:rPr>
                <w:color w:val="000000"/>
                <w:lang w:eastAsia="es-MX"/>
              </w:rPr>
            </w:pPr>
            <w:r w:rsidRPr="005A6D84">
              <w:rPr>
                <w:color w:val="000000"/>
                <w:sz w:val="22"/>
                <w:szCs w:val="22"/>
                <w:lang w:eastAsia="es-MX"/>
              </w:rPr>
              <w:t>26.7%</w:t>
            </w:r>
          </w:p>
        </w:tc>
        <w:tc>
          <w:tcPr>
            <w:tcW w:w="1044" w:type="dxa"/>
            <w:vAlign w:val="bottom"/>
          </w:tcPr>
          <w:p w14:paraId="2838DB9A" w14:textId="77777777" w:rsidR="00940D15" w:rsidRPr="005A6D84" w:rsidRDefault="00940D15" w:rsidP="00795601">
            <w:pPr>
              <w:jc w:val="center"/>
              <w:rPr>
                <w:color w:val="000000"/>
                <w:lang w:eastAsia="es-MX"/>
              </w:rPr>
            </w:pPr>
            <w:r w:rsidRPr="005A6D84">
              <w:rPr>
                <w:color w:val="000000"/>
                <w:sz w:val="22"/>
                <w:szCs w:val="22"/>
                <w:lang w:eastAsia="es-MX"/>
              </w:rPr>
              <w:t>61.1%</w:t>
            </w:r>
          </w:p>
        </w:tc>
        <w:tc>
          <w:tcPr>
            <w:tcW w:w="1225" w:type="dxa"/>
            <w:vAlign w:val="bottom"/>
          </w:tcPr>
          <w:p w14:paraId="284D7525" w14:textId="77777777" w:rsidR="00940D15" w:rsidRPr="005A6D84" w:rsidRDefault="00940D15" w:rsidP="00795601">
            <w:pPr>
              <w:jc w:val="center"/>
              <w:rPr>
                <w:color w:val="000000"/>
                <w:lang w:eastAsia="es-MX"/>
              </w:rPr>
            </w:pPr>
            <w:r w:rsidRPr="005A6D84">
              <w:rPr>
                <w:color w:val="000000"/>
                <w:sz w:val="22"/>
                <w:szCs w:val="22"/>
                <w:lang w:eastAsia="es-MX"/>
              </w:rPr>
              <w:t>76.3%</w:t>
            </w:r>
          </w:p>
        </w:tc>
        <w:tc>
          <w:tcPr>
            <w:tcW w:w="1041" w:type="dxa"/>
            <w:vAlign w:val="bottom"/>
          </w:tcPr>
          <w:p w14:paraId="3E93C9E2" w14:textId="77777777" w:rsidR="00940D15" w:rsidRPr="005A6D84" w:rsidRDefault="00940D15" w:rsidP="00795601">
            <w:pPr>
              <w:jc w:val="center"/>
              <w:rPr>
                <w:color w:val="000000"/>
                <w:lang w:eastAsia="es-MX"/>
              </w:rPr>
            </w:pPr>
            <w:r w:rsidRPr="005A6D84">
              <w:rPr>
                <w:color w:val="000000"/>
                <w:sz w:val="22"/>
                <w:szCs w:val="22"/>
                <w:lang w:eastAsia="es-MX"/>
              </w:rPr>
              <w:t>71.9%</w:t>
            </w:r>
          </w:p>
        </w:tc>
        <w:tc>
          <w:tcPr>
            <w:tcW w:w="1042" w:type="dxa"/>
            <w:vAlign w:val="bottom"/>
          </w:tcPr>
          <w:p w14:paraId="46B4BAD8" w14:textId="77777777" w:rsidR="00940D15" w:rsidRPr="005A6D84" w:rsidRDefault="00940D15" w:rsidP="00795601">
            <w:pPr>
              <w:jc w:val="center"/>
              <w:rPr>
                <w:color w:val="000000"/>
                <w:lang w:eastAsia="es-MX"/>
              </w:rPr>
            </w:pPr>
            <w:r w:rsidRPr="005A6D84">
              <w:rPr>
                <w:color w:val="000000"/>
                <w:sz w:val="22"/>
                <w:szCs w:val="22"/>
                <w:lang w:eastAsia="es-MX"/>
              </w:rPr>
              <w:t>58.6%</w:t>
            </w:r>
          </w:p>
        </w:tc>
        <w:tc>
          <w:tcPr>
            <w:tcW w:w="1041" w:type="dxa"/>
            <w:vAlign w:val="bottom"/>
          </w:tcPr>
          <w:p w14:paraId="1E70BED9" w14:textId="77777777" w:rsidR="00940D15" w:rsidRPr="005A6D84" w:rsidRDefault="00940D15" w:rsidP="00795601">
            <w:pPr>
              <w:jc w:val="center"/>
              <w:rPr>
                <w:color w:val="000000"/>
                <w:lang w:eastAsia="es-MX"/>
              </w:rPr>
            </w:pPr>
            <w:r w:rsidRPr="005A6D84">
              <w:rPr>
                <w:color w:val="000000"/>
                <w:sz w:val="22"/>
                <w:szCs w:val="22"/>
                <w:lang w:eastAsia="es-MX"/>
              </w:rPr>
              <w:t>89.4%</w:t>
            </w:r>
          </w:p>
        </w:tc>
        <w:tc>
          <w:tcPr>
            <w:tcW w:w="1042" w:type="dxa"/>
            <w:vAlign w:val="bottom"/>
          </w:tcPr>
          <w:p w14:paraId="66563E28" w14:textId="77777777" w:rsidR="00940D15" w:rsidRPr="005A6D84" w:rsidRDefault="00940D15" w:rsidP="00795601">
            <w:pPr>
              <w:jc w:val="center"/>
              <w:rPr>
                <w:color w:val="000000"/>
                <w:lang w:eastAsia="es-MX"/>
              </w:rPr>
            </w:pPr>
            <w:r w:rsidRPr="005A6D84">
              <w:rPr>
                <w:color w:val="000000"/>
                <w:sz w:val="22"/>
                <w:szCs w:val="22"/>
                <w:lang w:eastAsia="es-MX"/>
              </w:rPr>
              <w:t>83.6%</w:t>
            </w:r>
          </w:p>
        </w:tc>
        <w:tc>
          <w:tcPr>
            <w:tcW w:w="1142" w:type="dxa"/>
            <w:vAlign w:val="bottom"/>
          </w:tcPr>
          <w:p w14:paraId="159B6EA2" w14:textId="77777777" w:rsidR="00940D15" w:rsidRPr="005A6D84" w:rsidRDefault="00940D15" w:rsidP="00795601">
            <w:pPr>
              <w:jc w:val="center"/>
              <w:rPr>
                <w:color w:val="000000"/>
                <w:lang w:eastAsia="es-MX"/>
              </w:rPr>
            </w:pPr>
            <w:r w:rsidRPr="005A6D84">
              <w:rPr>
                <w:color w:val="000000"/>
                <w:sz w:val="22"/>
                <w:szCs w:val="22"/>
                <w:lang w:eastAsia="es-MX"/>
              </w:rPr>
              <w:t>32.8%</w:t>
            </w:r>
          </w:p>
        </w:tc>
      </w:tr>
      <w:tr w:rsidR="00940D15" w:rsidRPr="005A6D84" w14:paraId="66121D76" w14:textId="77777777">
        <w:trPr>
          <w:trHeight w:val="381"/>
          <w:jc w:val="center"/>
        </w:trPr>
        <w:tc>
          <w:tcPr>
            <w:tcW w:w="1800" w:type="dxa"/>
            <w:vAlign w:val="bottom"/>
          </w:tcPr>
          <w:p w14:paraId="3F0E8ABD" w14:textId="77777777" w:rsidR="00940D15" w:rsidRPr="005A6D84" w:rsidRDefault="00940D15" w:rsidP="00795601">
            <w:pPr>
              <w:rPr>
                <w:color w:val="000000"/>
                <w:lang w:eastAsia="es-MX"/>
              </w:rPr>
            </w:pPr>
            <w:r w:rsidRPr="005A6D84">
              <w:rPr>
                <w:color w:val="000000"/>
                <w:sz w:val="22"/>
                <w:szCs w:val="22"/>
                <w:lang w:eastAsia="es-MX"/>
              </w:rPr>
              <w:t>Other than English at home</w:t>
            </w:r>
          </w:p>
        </w:tc>
        <w:tc>
          <w:tcPr>
            <w:tcW w:w="900" w:type="dxa"/>
            <w:vAlign w:val="bottom"/>
          </w:tcPr>
          <w:p w14:paraId="2BED4775" w14:textId="77777777" w:rsidR="00940D15" w:rsidRPr="005A6D84" w:rsidRDefault="00940D15" w:rsidP="00795601">
            <w:pPr>
              <w:jc w:val="center"/>
              <w:rPr>
                <w:color w:val="000000"/>
                <w:lang w:eastAsia="es-MX"/>
              </w:rPr>
            </w:pPr>
            <w:r w:rsidRPr="005A6D84">
              <w:rPr>
                <w:color w:val="000000"/>
                <w:sz w:val="22"/>
                <w:szCs w:val="22"/>
                <w:lang w:eastAsia="es-MX"/>
              </w:rPr>
              <w:t>49.5%</w:t>
            </w:r>
          </w:p>
        </w:tc>
        <w:tc>
          <w:tcPr>
            <w:tcW w:w="900" w:type="dxa"/>
            <w:vAlign w:val="bottom"/>
          </w:tcPr>
          <w:p w14:paraId="48DB2254" w14:textId="77777777" w:rsidR="00940D15" w:rsidRPr="005A6D84" w:rsidRDefault="00940D15" w:rsidP="00795601">
            <w:pPr>
              <w:jc w:val="center"/>
              <w:rPr>
                <w:color w:val="000000"/>
                <w:lang w:eastAsia="es-MX"/>
              </w:rPr>
            </w:pPr>
            <w:r w:rsidRPr="005A6D84">
              <w:rPr>
                <w:color w:val="000000"/>
                <w:sz w:val="22"/>
                <w:szCs w:val="22"/>
                <w:lang w:eastAsia="es-MX"/>
              </w:rPr>
              <w:t>41.8%</w:t>
            </w:r>
          </w:p>
        </w:tc>
        <w:tc>
          <w:tcPr>
            <w:tcW w:w="965" w:type="dxa"/>
            <w:vAlign w:val="bottom"/>
          </w:tcPr>
          <w:p w14:paraId="19C0CDA7" w14:textId="77777777" w:rsidR="00940D15" w:rsidRPr="005A6D84" w:rsidRDefault="00940D15" w:rsidP="00795601">
            <w:pPr>
              <w:jc w:val="center"/>
              <w:rPr>
                <w:color w:val="000000"/>
                <w:lang w:eastAsia="es-MX"/>
              </w:rPr>
            </w:pPr>
            <w:r w:rsidRPr="005A6D84">
              <w:rPr>
                <w:color w:val="000000"/>
                <w:sz w:val="22"/>
                <w:szCs w:val="22"/>
                <w:lang w:eastAsia="es-MX"/>
              </w:rPr>
              <w:t>44.8%</w:t>
            </w:r>
          </w:p>
        </w:tc>
        <w:tc>
          <w:tcPr>
            <w:tcW w:w="1041" w:type="dxa"/>
            <w:vAlign w:val="bottom"/>
          </w:tcPr>
          <w:p w14:paraId="149E510B" w14:textId="77777777" w:rsidR="00940D15" w:rsidRPr="005A6D84" w:rsidRDefault="00940D15" w:rsidP="00795601">
            <w:pPr>
              <w:jc w:val="center"/>
              <w:rPr>
                <w:color w:val="000000"/>
                <w:lang w:eastAsia="es-MX"/>
              </w:rPr>
            </w:pPr>
            <w:r w:rsidRPr="005A6D84">
              <w:rPr>
                <w:color w:val="000000"/>
                <w:sz w:val="22"/>
                <w:szCs w:val="22"/>
                <w:lang w:eastAsia="es-MX"/>
              </w:rPr>
              <w:t>-</w:t>
            </w:r>
          </w:p>
        </w:tc>
        <w:tc>
          <w:tcPr>
            <w:tcW w:w="1072" w:type="dxa"/>
            <w:gridSpan w:val="2"/>
            <w:vAlign w:val="bottom"/>
          </w:tcPr>
          <w:p w14:paraId="1897D084" w14:textId="77777777" w:rsidR="00940D15" w:rsidRPr="005A6D84" w:rsidRDefault="00940D15" w:rsidP="00795601">
            <w:pPr>
              <w:jc w:val="center"/>
              <w:rPr>
                <w:color w:val="000000"/>
                <w:lang w:eastAsia="es-MX"/>
              </w:rPr>
            </w:pPr>
            <w:r w:rsidRPr="005A6D84">
              <w:rPr>
                <w:color w:val="000000"/>
                <w:sz w:val="22"/>
                <w:szCs w:val="22"/>
                <w:lang w:eastAsia="es-MX"/>
              </w:rPr>
              <w:t>26.4%</w:t>
            </w:r>
          </w:p>
        </w:tc>
        <w:tc>
          <w:tcPr>
            <w:tcW w:w="900" w:type="dxa"/>
            <w:vAlign w:val="bottom"/>
          </w:tcPr>
          <w:p w14:paraId="1327104D" w14:textId="77777777" w:rsidR="00940D15" w:rsidRPr="005A6D84" w:rsidRDefault="00940D15" w:rsidP="00795601">
            <w:pPr>
              <w:jc w:val="center"/>
              <w:rPr>
                <w:color w:val="000000"/>
                <w:lang w:eastAsia="es-MX"/>
              </w:rPr>
            </w:pPr>
            <w:r w:rsidRPr="005A6D84">
              <w:rPr>
                <w:color w:val="000000"/>
                <w:sz w:val="22"/>
                <w:szCs w:val="22"/>
                <w:lang w:eastAsia="es-MX"/>
              </w:rPr>
              <w:t>30.5%</w:t>
            </w:r>
          </w:p>
        </w:tc>
        <w:tc>
          <w:tcPr>
            <w:tcW w:w="1044" w:type="dxa"/>
            <w:vAlign w:val="bottom"/>
          </w:tcPr>
          <w:p w14:paraId="5CA9243A" w14:textId="77777777" w:rsidR="00940D15" w:rsidRPr="005A6D84" w:rsidRDefault="00940D15" w:rsidP="00795601">
            <w:pPr>
              <w:jc w:val="center"/>
              <w:rPr>
                <w:color w:val="000000"/>
                <w:lang w:eastAsia="es-MX"/>
              </w:rPr>
            </w:pPr>
            <w:r w:rsidRPr="005A6D84">
              <w:rPr>
                <w:color w:val="000000"/>
                <w:sz w:val="22"/>
                <w:szCs w:val="22"/>
                <w:lang w:eastAsia="es-MX"/>
              </w:rPr>
              <w:t>-</w:t>
            </w:r>
          </w:p>
        </w:tc>
        <w:tc>
          <w:tcPr>
            <w:tcW w:w="1225" w:type="dxa"/>
            <w:vAlign w:val="bottom"/>
          </w:tcPr>
          <w:p w14:paraId="5FDF9F22" w14:textId="77777777" w:rsidR="00940D15" w:rsidRPr="005A6D84" w:rsidRDefault="00940D15" w:rsidP="00795601">
            <w:pPr>
              <w:jc w:val="center"/>
              <w:rPr>
                <w:color w:val="000000"/>
                <w:lang w:eastAsia="es-MX"/>
              </w:rPr>
            </w:pPr>
            <w:r w:rsidRPr="005A6D84">
              <w:rPr>
                <w:color w:val="000000"/>
                <w:sz w:val="22"/>
                <w:szCs w:val="22"/>
                <w:lang w:eastAsia="es-MX"/>
              </w:rPr>
              <w:t>61.5%</w:t>
            </w:r>
          </w:p>
        </w:tc>
        <w:tc>
          <w:tcPr>
            <w:tcW w:w="1041" w:type="dxa"/>
            <w:vAlign w:val="bottom"/>
          </w:tcPr>
          <w:p w14:paraId="20E8C1EE" w14:textId="77777777" w:rsidR="00940D15" w:rsidRPr="005A6D84" w:rsidRDefault="00940D15" w:rsidP="00795601">
            <w:pPr>
              <w:jc w:val="center"/>
              <w:rPr>
                <w:color w:val="000000"/>
                <w:lang w:eastAsia="es-MX"/>
              </w:rPr>
            </w:pPr>
            <w:r w:rsidRPr="005A6D84">
              <w:rPr>
                <w:color w:val="000000"/>
                <w:sz w:val="22"/>
                <w:szCs w:val="22"/>
                <w:lang w:eastAsia="es-MX"/>
              </w:rPr>
              <w:t>61.0%</w:t>
            </w:r>
          </w:p>
        </w:tc>
        <w:tc>
          <w:tcPr>
            <w:tcW w:w="1042" w:type="dxa"/>
            <w:vAlign w:val="bottom"/>
          </w:tcPr>
          <w:p w14:paraId="1C64947D" w14:textId="77777777" w:rsidR="00940D15" w:rsidRPr="005A6D84" w:rsidRDefault="00940D15" w:rsidP="00795601">
            <w:pPr>
              <w:jc w:val="center"/>
              <w:rPr>
                <w:color w:val="000000"/>
                <w:lang w:eastAsia="es-MX"/>
              </w:rPr>
            </w:pPr>
            <w:r w:rsidRPr="005A6D84">
              <w:rPr>
                <w:color w:val="000000"/>
                <w:sz w:val="22"/>
                <w:szCs w:val="22"/>
                <w:lang w:eastAsia="es-MX"/>
              </w:rPr>
              <w:t>53.7%</w:t>
            </w:r>
          </w:p>
        </w:tc>
        <w:tc>
          <w:tcPr>
            <w:tcW w:w="1041" w:type="dxa"/>
            <w:vAlign w:val="bottom"/>
          </w:tcPr>
          <w:p w14:paraId="59A14EC2" w14:textId="77777777" w:rsidR="00940D15" w:rsidRPr="005A6D84" w:rsidRDefault="00940D15" w:rsidP="00795601">
            <w:pPr>
              <w:jc w:val="center"/>
              <w:rPr>
                <w:color w:val="000000"/>
                <w:lang w:eastAsia="es-MX"/>
              </w:rPr>
            </w:pPr>
            <w:r w:rsidRPr="005A6D84">
              <w:rPr>
                <w:color w:val="000000"/>
                <w:sz w:val="22"/>
                <w:szCs w:val="22"/>
                <w:lang w:eastAsia="es-MX"/>
              </w:rPr>
              <w:t>79.2%</w:t>
            </w:r>
          </w:p>
        </w:tc>
        <w:tc>
          <w:tcPr>
            <w:tcW w:w="1042" w:type="dxa"/>
            <w:vAlign w:val="bottom"/>
          </w:tcPr>
          <w:p w14:paraId="1C575008" w14:textId="77777777" w:rsidR="00940D15" w:rsidRPr="005A6D84" w:rsidRDefault="00940D15" w:rsidP="00795601">
            <w:pPr>
              <w:jc w:val="center"/>
              <w:rPr>
                <w:color w:val="000000"/>
                <w:lang w:eastAsia="es-MX"/>
              </w:rPr>
            </w:pPr>
            <w:r w:rsidRPr="005A6D84">
              <w:rPr>
                <w:color w:val="000000"/>
                <w:sz w:val="22"/>
                <w:szCs w:val="22"/>
                <w:lang w:eastAsia="es-MX"/>
              </w:rPr>
              <w:t>74.9%</w:t>
            </w:r>
          </w:p>
        </w:tc>
        <w:tc>
          <w:tcPr>
            <w:tcW w:w="1142" w:type="dxa"/>
            <w:vAlign w:val="bottom"/>
          </w:tcPr>
          <w:p w14:paraId="5CA5F76E" w14:textId="77777777" w:rsidR="00940D15" w:rsidRPr="005A6D84" w:rsidRDefault="00940D15" w:rsidP="00795601">
            <w:pPr>
              <w:jc w:val="center"/>
              <w:rPr>
                <w:color w:val="000000"/>
                <w:lang w:eastAsia="es-MX"/>
              </w:rPr>
            </w:pPr>
            <w:r w:rsidRPr="005A6D84">
              <w:rPr>
                <w:color w:val="000000"/>
                <w:sz w:val="22"/>
                <w:szCs w:val="22"/>
                <w:lang w:eastAsia="es-MX"/>
              </w:rPr>
              <w:t>28.0%</w:t>
            </w:r>
          </w:p>
        </w:tc>
      </w:tr>
      <w:tr w:rsidR="00940D15" w:rsidRPr="005A6D84" w14:paraId="63248E36" w14:textId="77777777">
        <w:trPr>
          <w:trHeight w:val="241"/>
          <w:jc w:val="center"/>
        </w:trPr>
        <w:tc>
          <w:tcPr>
            <w:tcW w:w="1800" w:type="dxa"/>
            <w:vAlign w:val="bottom"/>
          </w:tcPr>
          <w:p w14:paraId="60012449" w14:textId="77777777" w:rsidR="00940D15" w:rsidRPr="005A6D84" w:rsidRDefault="00940D15" w:rsidP="00795601">
            <w:pPr>
              <w:rPr>
                <w:color w:val="000000"/>
                <w:lang w:eastAsia="es-MX"/>
              </w:rPr>
            </w:pPr>
            <w:r w:rsidRPr="005A6D84">
              <w:rPr>
                <w:color w:val="000000"/>
                <w:sz w:val="22"/>
                <w:szCs w:val="22"/>
                <w:lang w:eastAsia="es-MX"/>
              </w:rPr>
              <w:t>Home ownership</w:t>
            </w:r>
          </w:p>
        </w:tc>
        <w:tc>
          <w:tcPr>
            <w:tcW w:w="900" w:type="dxa"/>
            <w:vAlign w:val="bottom"/>
          </w:tcPr>
          <w:p w14:paraId="26D9FE5B" w14:textId="77777777" w:rsidR="00940D15" w:rsidRPr="005A6D84" w:rsidRDefault="00940D15" w:rsidP="00795601">
            <w:pPr>
              <w:jc w:val="center"/>
              <w:rPr>
                <w:color w:val="000000"/>
                <w:lang w:eastAsia="es-MX"/>
              </w:rPr>
            </w:pPr>
            <w:r w:rsidRPr="005A6D84">
              <w:rPr>
                <w:color w:val="000000"/>
                <w:sz w:val="22"/>
                <w:szCs w:val="22"/>
                <w:lang w:eastAsia="es-MX"/>
              </w:rPr>
              <w:t>68%</w:t>
            </w:r>
          </w:p>
        </w:tc>
        <w:tc>
          <w:tcPr>
            <w:tcW w:w="900" w:type="dxa"/>
            <w:vAlign w:val="bottom"/>
          </w:tcPr>
          <w:p w14:paraId="13FFA9E0" w14:textId="77777777" w:rsidR="00940D15" w:rsidRPr="005A6D84" w:rsidRDefault="00940D15" w:rsidP="00795601">
            <w:pPr>
              <w:jc w:val="center"/>
              <w:rPr>
                <w:color w:val="000000"/>
                <w:lang w:eastAsia="es-MX"/>
              </w:rPr>
            </w:pPr>
            <w:r w:rsidRPr="005A6D84">
              <w:rPr>
                <w:color w:val="000000"/>
                <w:sz w:val="22"/>
                <w:szCs w:val="22"/>
                <w:lang w:eastAsia="es-MX"/>
              </w:rPr>
              <w:t>20%</w:t>
            </w:r>
          </w:p>
        </w:tc>
        <w:tc>
          <w:tcPr>
            <w:tcW w:w="965" w:type="dxa"/>
            <w:vAlign w:val="bottom"/>
          </w:tcPr>
          <w:p w14:paraId="5224AE6C" w14:textId="77777777" w:rsidR="00940D15" w:rsidRPr="005A6D84" w:rsidRDefault="00940D15" w:rsidP="00795601">
            <w:pPr>
              <w:jc w:val="center"/>
              <w:rPr>
                <w:color w:val="000000"/>
                <w:lang w:eastAsia="es-MX"/>
              </w:rPr>
            </w:pPr>
            <w:r w:rsidRPr="005A6D84">
              <w:rPr>
                <w:color w:val="000000"/>
                <w:sz w:val="22"/>
                <w:szCs w:val="22"/>
                <w:lang w:eastAsia="es-MX"/>
              </w:rPr>
              <w:t>27%</w:t>
            </w:r>
          </w:p>
        </w:tc>
        <w:tc>
          <w:tcPr>
            <w:tcW w:w="1041" w:type="dxa"/>
            <w:vAlign w:val="bottom"/>
          </w:tcPr>
          <w:p w14:paraId="644439FA" w14:textId="77777777" w:rsidR="00940D15" w:rsidRPr="005A6D84" w:rsidRDefault="00940D15" w:rsidP="00795601">
            <w:pPr>
              <w:jc w:val="center"/>
              <w:rPr>
                <w:color w:val="000000"/>
                <w:lang w:eastAsia="es-MX"/>
              </w:rPr>
            </w:pPr>
            <w:r w:rsidRPr="005A6D84">
              <w:rPr>
                <w:color w:val="000000"/>
                <w:sz w:val="22"/>
                <w:szCs w:val="22"/>
                <w:lang w:eastAsia="es-MX"/>
              </w:rPr>
              <w:t>27%</w:t>
            </w:r>
          </w:p>
        </w:tc>
        <w:tc>
          <w:tcPr>
            <w:tcW w:w="1072" w:type="dxa"/>
            <w:gridSpan w:val="2"/>
            <w:vAlign w:val="bottom"/>
          </w:tcPr>
          <w:p w14:paraId="2871165F" w14:textId="77777777" w:rsidR="00940D15" w:rsidRPr="005A6D84" w:rsidRDefault="00940D15" w:rsidP="00795601">
            <w:pPr>
              <w:jc w:val="center"/>
              <w:rPr>
                <w:color w:val="000000"/>
                <w:lang w:eastAsia="es-MX"/>
              </w:rPr>
            </w:pPr>
            <w:r w:rsidRPr="005A6D84">
              <w:rPr>
                <w:color w:val="000000"/>
                <w:sz w:val="22"/>
                <w:szCs w:val="22"/>
                <w:lang w:eastAsia="es-MX"/>
              </w:rPr>
              <w:t>70%</w:t>
            </w:r>
          </w:p>
        </w:tc>
        <w:tc>
          <w:tcPr>
            <w:tcW w:w="900" w:type="dxa"/>
            <w:vAlign w:val="bottom"/>
          </w:tcPr>
          <w:p w14:paraId="1573F93B" w14:textId="77777777" w:rsidR="00940D15" w:rsidRPr="005A6D84" w:rsidRDefault="00940D15" w:rsidP="00795601">
            <w:pPr>
              <w:jc w:val="center"/>
              <w:rPr>
                <w:color w:val="000000"/>
                <w:lang w:eastAsia="es-MX"/>
              </w:rPr>
            </w:pPr>
            <w:r w:rsidRPr="005A6D84">
              <w:rPr>
                <w:color w:val="000000"/>
                <w:sz w:val="22"/>
                <w:szCs w:val="22"/>
                <w:lang w:eastAsia="es-MX"/>
              </w:rPr>
              <w:t>28%</w:t>
            </w:r>
          </w:p>
        </w:tc>
        <w:tc>
          <w:tcPr>
            <w:tcW w:w="1044" w:type="dxa"/>
            <w:vAlign w:val="bottom"/>
          </w:tcPr>
          <w:p w14:paraId="1D2D0130" w14:textId="77777777" w:rsidR="00940D15" w:rsidRPr="005A6D84" w:rsidRDefault="00940D15" w:rsidP="00795601">
            <w:pPr>
              <w:jc w:val="center"/>
              <w:rPr>
                <w:color w:val="000000"/>
                <w:lang w:eastAsia="es-MX"/>
              </w:rPr>
            </w:pPr>
            <w:r w:rsidRPr="005A6D84">
              <w:rPr>
                <w:color w:val="000000"/>
                <w:sz w:val="22"/>
                <w:szCs w:val="22"/>
                <w:lang w:eastAsia="es-MX"/>
              </w:rPr>
              <w:t>33%</w:t>
            </w:r>
          </w:p>
        </w:tc>
        <w:tc>
          <w:tcPr>
            <w:tcW w:w="1225" w:type="dxa"/>
            <w:vAlign w:val="bottom"/>
          </w:tcPr>
          <w:p w14:paraId="62933D1E" w14:textId="77777777" w:rsidR="00940D15" w:rsidRPr="005A6D84" w:rsidRDefault="00940D15" w:rsidP="00795601">
            <w:pPr>
              <w:jc w:val="center"/>
              <w:rPr>
                <w:color w:val="000000"/>
                <w:lang w:eastAsia="es-MX"/>
              </w:rPr>
            </w:pPr>
            <w:r w:rsidRPr="005A6D84">
              <w:rPr>
                <w:color w:val="000000"/>
                <w:sz w:val="22"/>
                <w:szCs w:val="22"/>
                <w:lang w:eastAsia="es-MX"/>
              </w:rPr>
              <w:t>66%</w:t>
            </w:r>
          </w:p>
        </w:tc>
        <w:tc>
          <w:tcPr>
            <w:tcW w:w="1041" w:type="dxa"/>
            <w:vAlign w:val="bottom"/>
          </w:tcPr>
          <w:p w14:paraId="459C87F5" w14:textId="77777777" w:rsidR="00940D15" w:rsidRPr="005A6D84" w:rsidRDefault="00940D15" w:rsidP="00795601">
            <w:pPr>
              <w:jc w:val="center"/>
              <w:rPr>
                <w:color w:val="000000"/>
                <w:lang w:eastAsia="es-MX"/>
              </w:rPr>
            </w:pPr>
            <w:r w:rsidRPr="005A6D84">
              <w:rPr>
                <w:color w:val="000000"/>
                <w:sz w:val="22"/>
                <w:szCs w:val="22"/>
                <w:lang w:eastAsia="es-MX"/>
              </w:rPr>
              <w:t>35%</w:t>
            </w:r>
          </w:p>
        </w:tc>
        <w:tc>
          <w:tcPr>
            <w:tcW w:w="1042" w:type="dxa"/>
            <w:vAlign w:val="bottom"/>
          </w:tcPr>
          <w:p w14:paraId="2118969A" w14:textId="77777777" w:rsidR="00940D15" w:rsidRPr="005A6D84" w:rsidRDefault="00940D15" w:rsidP="00795601">
            <w:pPr>
              <w:jc w:val="center"/>
              <w:rPr>
                <w:color w:val="000000"/>
                <w:lang w:eastAsia="es-MX"/>
              </w:rPr>
            </w:pPr>
            <w:r w:rsidRPr="005A6D84">
              <w:rPr>
                <w:color w:val="000000"/>
                <w:sz w:val="22"/>
                <w:szCs w:val="22"/>
                <w:lang w:eastAsia="es-MX"/>
              </w:rPr>
              <w:t>74%</w:t>
            </w:r>
          </w:p>
        </w:tc>
        <w:tc>
          <w:tcPr>
            <w:tcW w:w="1041" w:type="dxa"/>
            <w:vAlign w:val="bottom"/>
          </w:tcPr>
          <w:p w14:paraId="47564831" w14:textId="77777777" w:rsidR="00940D15" w:rsidRPr="005A6D84" w:rsidRDefault="00940D15" w:rsidP="00795601">
            <w:pPr>
              <w:jc w:val="center"/>
              <w:rPr>
                <w:color w:val="000000"/>
                <w:lang w:eastAsia="es-MX"/>
              </w:rPr>
            </w:pPr>
            <w:r w:rsidRPr="005A6D84">
              <w:rPr>
                <w:color w:val="000000"/>
                <w:sz w:val="22"/>
                <w:szCs w:val="22"/>
                <w:lang w:eastAsia="es-MX"/>
              </w:rPr>
              <w:t>65%</w:t>
            </w:r>
          </w:p>
        </w:tc>
        <w:tc>
          <w:tcPr>
            <w:tcW w:w="1042" w:type="dxa"/>
            <w:vAlign w:val="bottom"/>
          </w:tcPr>
          <w:p w14:paraId="541C6D1F" w14:textId="77777777" w:rsidR="00940D15" w:rsidRPr="005A6D84" w:rsidRDefault="00940D15" w:rsidP="00795601">
            <w:pPr>
              <w:jc w:val="center"/>
              <w:rPr>
                <w:color w:val="000000"/>
                <w:lang w:eastAsia="es-MX"/>
              </w:rPr>
            </w:pPr>
            <w:r w:rsidRPr="005A6D84">
              <w:rPr>
                <w:color w:val="000000"/>
                <w:sz w:val="22"/>
                <w:szCs w:val="22"/>
                <w:lang w:eastAsia="es-MX"/>
              </w:rPr>
              <w:t>56%</w:t>
            </w:r>
          </w:p>
        </w:tc>
        <w:tc>
          <w:tcPr>
            <w:tcW w:w="1142" w:type="dxa"/>
            <w:vAlign w:val="bottom"/>
          </w:tcPr>
          <w:p w14:paraId="619318A0" w14:textId="77777777" w:rsidR="00940D15" w:rsidRPr="005A6D84" w:rsidRDefault="00940D15" w:rsidP="00795601">
            <w:pPr>
              <w:jc w:val="center"/>
              <w:rPr>
                <w:color w:val="000000"/>
                <w:lang w:eastAsia="es-MX"/>
              </w:rPr>
            </w:pPr>
            <w:r w:rsidRPr="005A6D84">
              <w:rPr>
                <w:color w:val="000000"/>
                <w:sz w:val="22"/>
                <w:szCs w:val="22"/>
                <w:lang w:eastAsia="es-MX"/>
              </w:rPr>
              <w:t>66%</w:t>
            </w:r>
          </w:p>
        </w:tc>
      </w:tr>
      <w:tr w:rsidR="00940D15" w:rsidRPr="005A6D84" w14:paraId="463ECCB5" w14:textId="77777777">
        <w:trPr>
          <w:trHeight w:val="178"/>
          <w:jc w:val="center"/>
        </w:trPr>
        <w:tc>
          <w:tcPr>
            <w:tcW w:w="1800" w:type="dxa"/>
            <w:vAlign w:val="bottom"/>
          </w:tcPr>
          <w:p w14:paraId="0C709087" w14:textId="77777777" w:rsidR="00940D15" w:rsidRPr="005A6D84" w:rsidRDefault="00940D15" w:rsidP="00795601">
            <w:pPr>
              <w:rPr>
                <w:color w:val="000000"/>
                <w:lang w:eastAsia="es-MX"/>
              </w:rPr>
            </w:pPr>
            <w:r w:rsidRPr="005A6D84">
              <w:rPr>
                <w:color w:val="000000"/>
                <w:sz w:val="22"/>
                <w:szCs w:val="22"/>
                <w:lang w:eastAsia="es-MX"/>
              </w:rPr>
              <w:t>Per capita  income</w:t>
            </w:r>
          </w:p>
        </w:tc>
        <w:tc>
          <w:tcPr>
            <w:tcW w:w="900" w:type="dxa"/>
            <w:vAlign w:val="bottom"/>
          </w:tcPr>
          <w:p w14:paraId="55653587" w14:textId="77777777" w:rsidR="00940D15" w:rsidRPr="005A6D84" w:rsidRDefault="00940D15" w:rsidP="00795601">
            <w:pPr>
              <w:jc w:val="center"/>
              <w:rPr>
                <w:color w:val="000000"/>
                <w:lang w:eastAsia="es-MX"/>
              </w:rPr>
            </w:pPr>
            <w:r w:rsidRPr="005A6D84">
              <w:rPr>
                <w:color w:val="000000"/>
                <w:sz w:val="22"/>
                <w:szCs w:val="22"/>
                <w:lang w:eastAsia="es-MX"/>
              </w:rPr>
              <w:t xml:space="preserve">$19,472 </w:t>
            </w:r>
          </w:p>
        </w:tc>
        <w:tc>
          <w:tcPr>
            <w:tcW w:w="900" w:type="dxa"/>
            <w:vAlign w:val="bottom"/>
          </w:tcPr>
          <w:p w14:paraId="26C35582" w14:textId="77777777" w:rsidR="00940D15" w:rsidRPr="005A6D84" w:rsidRDefault="00940D15" w:rsidP="00795601">
            <w:pPr>
              <w:jc w:val="center"/>
              <w:rPr>
                <w:color w:val="000000"/>
                <w:lang w:eastAsia="es-MX"/>
              </w:rPr>
            </w:pPr>
            <w:r w:rsidRPr="005A6D84">
              <w:rPr>
                <w:color w:val="000000"/>
                <w:sz w:val="22"/>
                <w:szCs w:val="22"/>
                <w:lang w:eastAsia="es-MX"/>
              </w:rPr>
              <w:t xml:space="preserve">$13,969 </w:t>
            </w:r>
          </w:p>
        </w:tc>
        <w:tc>
          <w:tcPr>
            <w:tcW w:w="965" w:type="dxa"/>
            <w:vAlign w:val="bottom"/>
          </w:tcPr>
          <w:p w14:paraId="2EB4316C" w14:textId="77777777" w:rsidR="00940D15" w:rsidRPr="005A6D84" w:rsidRDefault="00940D15" w:rsidP="00795601">
            <w:pPr>
              <w:jc w:val="center"/>
              <w:rPr>
                <w:color w:val="000000"/>
                <w:lang w:eastAsia="es-MX"/>
              </w:rPr>
            </w:pPr>
            <w:r w:rsidRPr="005A6D84">
              <w:rPr>
                <w:color w:val="000000"/>
                <w:sz w:val="22"/>
                <w:szCs w:val="22"/>
                <w:lang w:eastAsia="es-MX"/>
              </w:rPr>
              <w:t xml:space="preserve">$12,798 </w:t>
            </w:r>
          </w:p>
        </w:tc>
        <w:tc>
          <w:tcPr>
            <w:tcW w:w="1041" w:type="dxa"/>
            <w:vAlign w:val="bottom"/>
          </w:tcPr>
          <w:p w14:paraId="51D8C3DD" w14:textId="77777777" w:rsidR="00940D15" w:rsidRPr="005A6D84" w:rsidRDefault="00940D15" w:rsidP="00795601">
            <w:pPr>
              <w:jc w:val="center"/>
              <w:rPr>
                <w:color w:val="000000"/>
                <w:lang w:eastAsia="es-MX"/>
              </w:rPr>
            </w:pPr>
            <w:r w:rsidRPr="005A6D84">
              <w:rPr>
                <w:color w:val="000000"/>
                <w:sz w:val="22"/>
                <w:szCs w:val="22"/>
                <w:lang w:eastAsia="es-MX"/>
              </w:rPr>
              <w:t xml:space="preserve">$14,646 </w:t>
            </w:r>
          </w:p>
        </w:tc>
        <w:tc>
          <w:tcPr>
            <w:tcW w:w="1072" w:type="dxa"/>
            <w:gridSpan w:val="2"/>
            <w:vAlign w:val="bottom"/>
          </w:tcPr>
          <w:p w14:paraId="03DEE801" w14:textId="77777777" w:rsidR="00940D15" w:rsidRPr="005A6D84" w:rsidRDefault="00940D15" w:rsidP="00795601">
            <w:pPr>
              <w:jc w:val="center"/>
              <w:rPr>
                <w:color w:val="000000"/>
                <w:lang w:eastAsia="es-MX"/>
              </w:rPr>
            </w:pPr>
            <w:r w:rsidRPr="005A6D84">
              <w:rPr>
                <w:color w:val="000000"/>
                <w:sz w:val="22"/>
                <w:szCs w:val="22"/>
                <w:lang w:eastAsia="es-MX"/>
              </w:rPr>
              <w:t xml:space="preserve">$17,104 </w:t>
            </w:r>
          </w:p>
        </w:tc>
        <w:tc>
          <w:tcPr>
            <w:tcW w:w="900" w:type="dxa"/>
            <w:vAlign w:val="bottom"/>
          </w:tcPr>
          <w:p w14:paraId="1977255D" w14:textId="77777777" w:rsidR="00940D15" w:rsidRPr="005A6D84" w:rsidRDefault="00940D15" w:rsidP="00795601">
            <w:pPr>
              <w:jc w:val="center"/>
              <w:rPr>
                <w:color w:val="000000"/>
                <w:lang w:eastAsia="es-MX"/>
              </w:rPr>
            </w:pPr>
            <w:r w:rsidRPr="005A6D84">
              <w:rPr>
                <w:color w:val="000000"/>
                <w:sz w:val="22"/>
                <w:szCs w:val="22"/>
                <w:lang w:eastAsia="es-MX"/>
              </w:rPr>
              <w:t xml:space="preserve">$17,053 </w:t>
            </w:r>
          </w:p>
        </w:tc>
        <w:tc>
          <w:tcPr>
            <w:tcW w:w="1044" w:type="dxa"/>
            <w:vAlign w:val="bottom"/>
          </w:tcPr>
          <w:p w14:paraId="0AE120B4" w14:textId="77777777" w:rsidR="00940D15" w:rsidRPr="005A6D84" w:rsidRDefault="00940D15" w:rsidP="00795601">
            <w:pPr>
              <w:jc w:val="center"/>
              <w:rPr>
                <w:color w:val="000000"/>
                <w:lang w:eastAsia="es-MX"/>
              </w:rPr>
            </w:pPr>
            <w:r w:rsidRPr="005A6D84">
              <w:rPr>
                <w:color w:val="000000"/>
                <w:sz w:val="22"/>
                <w:szCs w:val="22"/>
                <w:lang w:eastAsia="es-MX"/>
              </w:rPr>
              <w:t xml:space="preserve">$12,429 </w:t>
            </w:r>
          </w:p>
        </w:tc>
        <w:tc>
          <w:tcPr>
            <w:tcW w:w="1225" w:type="dxa"/>
            <w:vAlign w:val="bottom"/>
          </w:tcPr>
          <w:p w14:paraId="79B04A8A" w14:textId="77777777" w:rsidR="00940D15" w:rsidRPr="005A6D84" w:rsidRDefault="00940D15" w:rsidP="00795601">
            <w:pPr>
              <w:jc w:val="center"/>
              <w:rPr>
                <w:color w:val="000000"/>
                <w:lang w:eastAsia="es-MX"/>
              </w:rPr>
            </w:pPr>
            <w:r w:rsidRPr="005A6D84">
              <w:rPr>
                <w:color w:val="000000"/>
                <w:sz w:val="22"/>
                <w:szCs w:val="22"/>
                <w:lang w:eastAsia="es-MX"/>
              </w:rPr>
              <w:t xml:space="preserve">$11,910 </w:t>
            </w:r>
          </w:p>
        </w:tc>
        <w:tc>
          <w:tcPr>
            <w:tcW w:w="1041" w:type="dxa"/>
            <w:vAlign w:val="bottom"/>
          </w:tcPr>
          <w:p w14:paraId="7B289653" w14:textId="77777777" w:rsidR="00940D15" w:rsidRPr="005A6D84" w:rsidRDefault="00940D15" w:rsidP="00795601">
            <w:pPr>
              <w:jc w:val="center"/>
              <w:rPr>
                <w:color w:val="000000"/>
                <w:lang w:eastAsia="es-MX"/>
              </w:rPr>
            </w:pPr>
            <w:r w:rsidRPr="005A6D84">
              <w:rPr>
                <w:color w:val="000000"/>
                <w:sz w:val="22"/>
                <w:szCs w:val="22"/>
                <w:lang w:eastAsia="es-MX"/>
              </w:rPr>
              <w:t xml:space="preserve">$7,849 </w:t>
            </w:r>
          </w:p>
        </w:tc>
        <w:tc>
          <w:tcPr>
            <w:tcW w:w="1042" w:type="dxa"/>
            <w:vAlign w:val="bottom"/>
          </w:tcPr>
          <w:p w14:paraId="5F1BFAA4" w14:textId="77777777" w:rsidR="00940D15" w:rsidRPr="005A6D84" w:rsidRDefault="00940D15" w:rsidP="00795601">
            <w:pPr>
              <w:jc w:val="center"/>
              <w:rPr>
                <w:color w:val="000000"/>
                <w:lang w:eastAsia="es-MX"/>
              </w:rPr>
            </w:pPr>
            <w:r w:rsidRPr="005A6D84">
              <w:rPr>
                <w:color w:val="000000"/>
                <w:sz w:val="22"/>
                <w:szCs w:val="22"/>
                <w:lang w:eastAsia="es-MX"/>
              </w:rPr>
              <w:t xml:space="preserve">$7,334 </w:t>
            </w:r>
          </w:p>
        </w:tc>
        <w:tc>
          <w:tcPr>
            <w:tcW w:w="1041" w:type="dxa"/>
            <w:vAlign w:val="bottom"/>
          </w:tcPr>
          <w:p w14:paraId="4F6B5598" w14:textId="77777777" w:rsidR="00940D15" w:rsidRPr="005A6D84" w:rsidRDefault="00940D15" w:rsidP="00795601">
            <w:pPr>
              <w:jc w:val="center"/>
              <w:rPr>
                <w:color w:val="000000"/>
                <w:lang w:eastAsia="es-MX"/>
              </w:rPr>
            </w:pPr>
            <w:r w:rsidRPr="005A6D84">
              <w:rPr>
                <w:color w:val="000000"/>
                <w:sz w:val="22"/>
                <w:szCs w:val="22"/>
                <w:lang w:eastAsia="es-MX"/>
              </w:rPr>
              <w:t xml:space="preserve">$11,808 </w:t>
            </w:r>
          </w:p>
        </w:tc>
        <w:tc>
          <w:tcPr>
            <w:tcW w:w="1042" w:type="dxa"/>
            <w:vAlign w:val="bottom"/>
          </w:tcPr>
          <w:p w14:paraId="63BF9743" w14:textId="77777777" w:rsidR="00940D15" w:rsidRPr="005A6D84" w:rsidRDefault="00940D15" w:rsidP="00795601">
            <w:pPr>
              <w:jc w:val="center"/>
              <w:rPr>
                <w:color w:val="000000"/>
                <w:lang w:eastAsia="es-MX"/>
              </w:rPr>
            </w:pPr>
            <w:r w:rsidRPr="005A6D84">
              <w:rPr>
                <w:color w:val="000000"/>
                <w:sz w:val="22"/>
                <w:szCs w:val="22"/>
                <w:lang w:eastAsia="es-MX"/>
              </w:rPr>
              <w:t xml:space="preserve">$12,944 </w:t>
            </w:r>
          </w:p>
        </w:tc>
        <w:tc>
          <w:tcPr>
            <w:tcW w:w="1142" w:type="dxa"/>
            <w:vAlign w:val="bottom"/>
          </w:tcPr>
          <w:p w14:paraId="481AC686" w14:textId="77777777" w:rsidR="00940D15" w:rsidRPr="005A6D84" w:rsidRDefault="00940D15" w:rsidP="00795601">
            <w:pPr>
              <w:jc w:val="center"/>
              <w:rPr>
                <w:color w:val="000000"/>
                <w:lang w:eastAsia="es-MX"/>
              </w:rPr>
            </w:pPr>
            <w:r w:rsidRPr="005A6D84">
              <w:rPr>
                <w:color w:val="000000"/>
                <w:sz w:val="22"/>
                <w:szCs w:val="22"/>
                <w:lang w:eastAsia="es-MX"/>
              </w:rPr>
              <w:t xml:space="preserve">$24,556 </w:t>
            </w:r>
          </w:p>
        </w:tc>
      </w:tr>
      <w:tr w:rsidR="00940D15" w:rsidRPr="005A6D84" w14:paraId="222F9B5F" w14:textId="77777777">
        <w:trPr>
          <w:trHeight w:val="194"/>
          <w:jc w:val="center"/>
        </w:trPr>
        <w:tc>
          <w:tcPr>
            <w:tcW w:w="15155" w:type="dxa"/>
            <w:gridSpan w:val="15"/>
            <w:shd w:val="clear" w:color="auto" w:fill="D9D9D9"/>
            <w:vAlign w:val="bottom"/>
          </w:tcPr>
          <w:p w14:paraId="72402746" w14:textId="77777777" w:rsidR="00940D15" w:rsidRPr="005A6D84" w:rsidRDefault="00940D15" w:rsidP="00795601">
            <w:pPr>
              <w:jc w:val="center"/>
              <w:rPr>
                <w:color w:val="000000"/>
                <w:lang w:eastAsia="es-MX"/>
              </w:rPr>
            </w:pPr>
            <w:r w:rsidRPr="005A6D84">
              <w:rPr>
                <w:b/>
                <w:bCs/>
                <w:color w:val="000000"/>
                <w:sz w:val="22"/>
                <w:szCs w:val="22"/>
                <w:lang w:eastAsia="es-MX"/>
              </w:rPr>
              <w:t>Physical Activity Environment (Observational Assessment; Neighborhood Survey)</w:t>
            </w:r>
          </w:p>
        </w:tc>
      </w:tr>
      <w:tr w:rsidR="00940D15" w:rsidRPr="005A6D84" w14:paraId="70F19166" w14:textId="77777777">
        <w:trPr>
          <w:trHeight w:val="336"/>
          <w:jc w:val="center"/>
        </w:trPr>
        <w:tc>
          <w:tcPr>
            <w:tcW w:w="1800" w:type="dxa"/>
            <w:vAlign w:val="bottom"/>
          </w:tcPr>
          <w:p w14:paraId="17685791" w14:textId="77777777" w:rsidR="00940D15" w:rsidRPr="005A6D84" w:rsidRDefault="00940D15" w:rsidP="00795601">
            <w:pPr>
              <w:rPr>
                <w:color w:val="000000"/>
                <w:lang w:eastAsia="es-MX"/>
              </w:rPr>
            </w:pPr>
            <w:r w:rsidRPr="005A6D84">
              <w:rPr>
                <w:color w:val="000000"/>
                <w:sz w:val="22"/>
                <w:szCs w:val="22"/>
                <w:lang w:eastAsia="es-MX"/>
              </w:rPr>
              <w:t>Public rec. sites per sq. mile</w:t>
            </w:r>
          </w:p>
        </w:tc>
        <w:tc>
          <w:tcPr>
            <w:tcW w:w="900" w:type="dxa"/>
            <w:vAlign w:val="bottom"/>
          </w:tcPr>
          <w:p w14:paraId="18F4172A" w14:textId="77777777" w:rsidR="00940D15" w:rsidRPr="005A6D84" w:rsidRDefault="00940D15" w:rsidP="00795601">
            <w:pPr>
              <w:jc w:val="center"/>
              <w:rPr>
                <w:color w:val="000000"/>
                <w:lang w:eastAsia="es-MX"/>
              </w:rPr>
            </w:pPr>
            <w:r w:rsidRPr="005A6D84">
              <w:rPr>
                <w:color w:val="000000"/>
                <w:sz w:val="22"/>
                <w:szCs w:val="22"/>
                <w:lang w:eastAsia="es-MX"/>
              </w:rPr>
              <w:t>0.33</w:t>
            </w:r>
          </w:p>
        </w:tc>
        <w:tc>
          <w:tcPr>
            <w:tcW w:w="900" w:type="dxa"/>
            <w:vAlign w:val="bottom"/>
          </w:tcPr>
          <w:p w14:paraId="672976A7" w14:textId="77777777" w:rsidR="00940D15" w:rsidRPr="005A6D84" w:rsidRDefault="00940D15" w:rsidP="00795601">
            <w:pPr>
              <w:jc w:val="center"/>
              <w:rPr>
                <w:color w:val="000000"/>
                <w:lang w:eastAsia="es-MX"/>
              </w:rPr>
            </w:pPr>
            <w:r w:rsidRPr="005A6D84">
              <w:rPr>
                <w:color w:val="000000"/>
                <w:sz w:val="22"/>
                <w:szCs w:val="22"/>
                <w:lang w:eastAsia="es-MX"/>
              </w:rPr>
              <w:t>0.67</w:t>
            </w:r>
          </w:p>
        </w:tc>
        <w:tc>
          <w:tcPr>
            <w:tcW w:w="965" w:type="dxa"/>
            <w:vAlign w:val="bottom"/>
          </w:tcPr>
          <w:p w14:paraId="3CB9E10D" w14:textId="77777777" w:rsidR="00940D15" w:rsidRPr="005A6D84" w:rsidRDefault="00940D15" w:rsidP="00795601">
            <w:pPr>
              <w:jc w:val="center"/>
              <w:rPr>
                <w:color w:val="000000"/>
                <w:lang w:eastAsia="es-MX"/>
              </w:rPr>
            </w:pPr>
            <w:r w:rsidRPr="005A6D84">
              <w:rPr>
                <w:color w:val="000000"/>
                <w:sz w:val="22"/>
                <w:szCs w:val="22"/>
                <w:lang w:eastAsia="es-MX"/>
              </w:rPr>
              <w:t>2.5</w:t>
            </w:r>
          </w:p>
        </w:tc>
        <w:tc>
          <w:tcPr>
            <w:tcW w:w="1041" w:type="dxa"/>
            <w:vAlign w:val="bottom"/>
          </w:tcPr>
          <w:p w14:paraId="41FB7748" w14:textId="77777777" w:rsidR="00940D15" w:rsidRPr="005A6D84" w:rsidRDefault="00940D15" w:rsidP="00795601">
            <w:pPr>
              <w:jc w:val="center"/>
              <w:rPr>
                <w:color w:val="000000"/>
                <w:lang w:eastAsia="es-MX"/>
              </w:rPr>
            </w:pPr>
            <w:r w:rsidRPr="005A6D84">
              <w:rPr>
                <w:color w:val="000000"/>
                <w:sz w:val="22"/>
                <w:szCs w:val="22"/>
                <w:lang w:eastAsia="es-MX"/>
              </w:rPr>
              <w:t>6</w:t>
            </w:r>
          </w:p>
        </w:tc>
        <w:tc>
          <w:tcPr>
            <w:tcW w:w="1072" w:type="dxa"/>
            <w:gridSpan w:val="2"/>
            <w:vAlign w:val="bottom"/>
          </w:tcPr>
          <w:p w14:paraId="671BCA8A" w14:textId="77777777" w:rsidR="00940D15" w:rsidRPr="005A6D84" w:rsidRDefault="00940D15" w:rsidP="00795601">
            <w:pPr>
              <w:jc w:val="center"/>
              <w:rPr>
                <w:color w:val="000000"/>
                <w:lang w:eastAsia="es-MX"/>
              </w:rPr>
            </w:pPr>
            <w:r w:rsidRPr="005A6D84">
              <w:rPr>
                <w:color w:val="000000"/>
                <w:sz w:val="22"/>
                <w:szCs w:val="22"/>
                <w:lang w:eastAsia="es-MX"/>
              </w:rPr>
              <w:t>0.33</w:t>
            </w:r>
          </w:p>
        </w:tc>
        <w:tc>
          <w:tcPr>
            <w:tcW w:w="900" w:type="dxa"/>
            <w:vAlign w:val="bottom"/>
          </w:tcPr>
          <w:p w14:paraId="3035F19E"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044" w:type="dxa"/>
            <w:vAlign w:val="bottom"/>
          </w:tcPr>
          <w:p w14:paraId="2082F9F1"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225" w:type="dxa"/>
            <w:vAlign w:val="bottom"/>
          </w:tcPr>
          <w:p w14:paraId="5BBB4739"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1041" w:type="dxa"/>
            <w:vAlign w:val="bottom"/>
          </w:tcPr>
          <w:p w14:paraId="3AA84A25" w14:textId="77777777" w:rsidR="00940D15" w:rsidRPr="005A6D84" w:rsidRDefault="00940D15" w:rsidP="00795601">
            <w:pPr>
              <w:jc w:val="center"/>
              <w:rPr>
                <w:color w:val="000000"/>
                <w:lang w:eastAsia="es-MX"/>
              </w:rPr>
            </w:pPr>
            <w:r w:rsidRPr="005A6D84">
              <w:rPr>
                <w:color w:val="000000"/>
                <w:sz w:val="22"/>
                <w:szCs w:val="22"/>
                <w:lang w:eastAsia="es-MX"/>
              </w:rPr>
              <w:t>3.08</w:t>
            </w:r>
          </w:p>
        </w:tc>
        <w:tc>
          <w:tcPr>
            <w:tcW w:w="1042" w:type="dxa"/>
            <w:vAlign w:val="bottom"/>
          </w:tcPr>
          <w:p w14:paraId="6531519E" w14:textId="77777777" w:rsidR="00940D15" w:rsidRPr="005A6D84" w:rsidRDefault="00940D15" w:rsidP="00795601">
            <w:pPr>
              <w:jc w:val="center"/>
              <w:rPr>
                <w:color w:val="000000"/>
                <w:lang w:eastAsia="es-MX"/>
              </w:rPr>
            </w:pPr>
            <w:r w:rsidRPr="005A6D84">
              <w:rPr>
                <w:color w:val="000000"/>
                <w:sz w:val="22"/>
                <w:szCs w:val="22"/>
                <w:lang w:eastAsia="es-MX"/>
              </w:rPr>
              <w:t>1.3</w:t>
            </w:r>
          </w:p>
        </w:tc>
        <w:tc>
          <w:tcPr>
            <w:tcW w:w="1041" w:type="dxa"/>
            <w:vAlign w:val="bottom"/>
          </w:tcPr>
          <w:p w14:paraId="301514FB" w14:textId="77777777" w:rsidR="00940D15" w:rsidRPr="005A6D84" w:rsidRDefault="00940D15" w:rsidP="00795601">
            <w:pPr>
              <w:jc w:val="center"/>
              <w:rPr>
                <w:color w:val="000000"/>
                <w:lang w:eastAsia="es-MX"/>
              </w:rPr>
            </w:pPr>
            <w:r w:rsidRPr="005A6D84">
              <w:rPr>
                <w:color w:val="000000"/>
                <w:sz w:val="22"/>
                <w:szCs w:val="22"/>
                <w:lang w:eastAsia="es-MX"/>
              </w:rPr>
              <w:t>0.7</w:t>
            </w:r>
          </w:p>
        </w:tc>
        <w:tc>
          <w:tcPr>
            <w:tcW w:w="1042" w:type="dxa"/>
            <w:vAlign w:val="bottom"/>
          </w:tcPr>
          <w:p w14:paraId="33D2C151"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142" w:type="dxa"/>
            <w:vAlign w:val="bottom"/>
          </w:tcPr>
          <w:p w14:paraId="374F1BFD"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0E13C9DE" w14:textId="77777777">
        <w:trPr>
          <w:trHeight w:val="234"/>
          <w:jc w:val="center"/>
        </w:trPr>
        <w:tc>
          <w:tcPr>
            <w:tcW w:w="1800" w:type="dxa"/>
            <w:vAlign w:val="bottom"/>
          </w:tcPr>
          <w:p w14:paraId="7E63E3BF" w14:textId="77777777" w:rsidR="00940D15" w:rsidRPr="005A6D84" w:rsidRDefault="00940D15" w:rsidP="00795601">
            <w:pPr>
              <w:rPr>
                <w:color w:val="000000"/>
                <w:lang w:eastAsia="es-MX"/>
              </w:rPr>
            </w:pPr>
            <w:r w:rsidRPr="005A6D84">
              <w:rPr>
                <w:color w:val="000000"/>
                <w:sz w:val="22"/>
                <w:szCs w:val="22"/>
                <w:lang w:eastAsia="es-MX"/>
              </w:rPr>
              <w:t>Bus stops</w:t>
            </w:r>
          </w:p>
        </w:tc>
        <w:tc>
          <w:tcPr>
            <w:tcW w:w="900" w:type="dxa"/>
            <w:vAlign w:val="bottom"/>
          </w:tcPr>
          <w:p w14:paraId="59251397" w14:textId="77777777" w:rsidR="00940D15" w:rsidRPr="005A6D84" w:rsidRDefault="00940D15" w:rsidP="00795601">
            <w:pPr>
              <w:jc w:val="center"/>
              <w:rPr>
                <w:color w:val="000000"/>
                <w:lang w:eastAsia="es-MX"/>
              </w:rPr>
            </w:pPr>
            <w:r w:rsidRPr="005A6D84">
              <w:rPr>
                <w:color w:val="000000"/>
                <w:sz w:val="22"/>
                <w:szCs w:val="22"/>
                <w:lang w:eastAsia="es-MX"/>
              </w:rPr>
              <w:t>no</w:t>
            </w:r>
          </w:p>
        </w:tc>
        <w:tc>
          <w:tcPr>
            <w:tcW w:w="900" w:type="dxa"/>
            <w:vAlign w:val="bottom"/>
          </w:tcPr>
          <w:p w14:paraId="7E6D75C6" w14:textId="77777777" w:rsidR="00940D15" w:rsidRPr="005A6D84" w:rsidRDefault="00940D15" w:rsidP="00795601">
            <w:pPr>
              <w:jc w:val="center"/>
              <w:rPr>
                <w:color w:val="000000"/>
                <w:lang w:eastAsia="es-MX"/>
              </w:rPr>
            </w:pPr>
            <w:r w:rsidRPr="005A6D84">
              <w:rPr>
                <w:color w:val="000000"/>
                <w:sz w:val="22"/>
                <w:szCs w:val="22"/>
                <w:lang w:eastAsia="es-MX"/>
              </w:rPr>
              <w:t>26</w:t>
            </w:r>
          </w:p>
        </w:tc>
        <w:tc>
          <w:tcPr>
            <w:tcW w:w="965" w:type="dxa"/>
            <w:vAlign w:val="bottom"/>
          </w:tcPr>
          <w:p w14:paraId="484C18AD" w14:textId="77777777" w:rsidR="00940D15" w:rsidRPr="005A6D84" w:rsidRDefault="00940D15" w:rsidP="00795601">
            <w:pPr>
              <w:jc w:val="center"/>
              <w:rPr>
                <w:color w:val="000000"/>
                <w:lang w:eastAsia="es-MX"/>
              </w:rPr>
            </w:pPr>
            <w:r w:rsidRPr="005A6D84">
              <w:rPr>
                <w:color w:val="000000"/>
                <w:sz w:val="22"/>
                <w:szCs w:val="22"/>
                <w:lang w:eastAsia="es-MX"/>
              </w:rPr>
              <w:t>22</w:t>
            </w:r>
          </w:p>
        </w:tc>
        <w:tc>
          <w:tcPr>
            <w:tcW w:w="1041" w:type="dxa"/>
            <w:vAlign w:val="bottom"/>
          </w:tcPr>
          <w:p w14:paraId="2A5B867B" w14:textId="77777777" w:rsidR="00940D15" w:rsidRPr="005A6D84" w:rsidRDefault="00940D15" w:rsidP="00795601">
            <w:pPr>
              <w:jc w:val="center"/>
              <w:rPr>
                <w:color w:val="000000"/>
                <w:lang w:eastAsia="es-MX"/>
              </w:rPr>
            </w:pPr>
            <w:r w:rsidRPr="005A6D84">
              <w:rPr>
                <w:color w:val="000000"/>
                <w:sz w:val="22"/>
                <w:szCs w:val="22"/>
                <w:lang w:eastAsia="es-MX"/>
              </w:rPr>
              <w:t>12</w:t>
            </w:r>
          </w:p>
        </w:tc>
        <w:tc>
          <w:tcPr>
            <w:tcW w:w="1072" w:type="dxa"/>
            <w:gridSpan w:val="2"/>
            <w:vAlign w:val="bottom"/>
          </w:tcPr>
          <w:p w14:paraId="1442EA2A"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900" w:type="dxa"/>
            <w:vAlign w:val="bottom"/>
          </w:tcPr>
          <w:p w14:paraId="661DF9B0" w14:textId="77777777" w:rsidR="00940D15" w:rsidRPr="005A6D84" w:rsidRDefault="00940D15" w:rsidP="00795601">
            <w:pPr>
              <w:jc w:val="center"/>
              <w:rPr>
                <w:color w:val="000000"/>
                <w:lang w:eastAsia="es-MX"/>
              </w:rPr>
            </w:pPr>
            <w:r w:rsidRPr="005A6D84">
              <w:rPr>
                <w:color w:val="000000"/>
                <w:sz w:val="22"/>
                <w:szCs w:val="22"/>
                <w:lang w:eastAsia="es-MX"/>
              </w:rPr>
              <w:t>17</w:t>
            </w:r>
          </w:p>
        </w:tc>
        <w:tc>
          <w:tcPr>
            <w:tcW w:w="1044" w:type="dxa"/>
            <w:vAlign w:val="bottom"/>
          </w:tcPr>
          <w:p w14:paraId="2700CA21" w14:textId="77777777" w:rsidR="00940D15" w:rsidRPr="005A6D84" w:rsidRDefault="00940D15" w:rsidP="00795601">
            <w:pPr>
              <w:jc w:val="center"/>
              <w:rPr>
                <w:color w:val="000000"/>
                <w:lang w:eastAsia="es-MX"/>
              </w:rPr>
            </w:pPr>
            <w:r w:rsidRPr="005A6D84">
              <w:rPr>
                <w:color w:val="000000"/>
                <w:sz w:val="22"/>
                <w:szCs w:val="22"/>
                <w:lang w:eastAsia="es-MX"/>
              </w:rPr>
              <w:t>12</w:t>
            </w:r>
          </w:p>
        </w:tc>
        <w:tc>
          <w:tcPr>
            <w:tcW w:w="1225" w:type="dxa"/>
            <w:vAlign w:val="bottom"/>
          </w:tcPr>
          <w:p w14:paraId="64570AC2" w14:textId="77777777" w:rsidR="00940D15" w:rsidRPr="005A6D84" w:rsidRDefault="00940D15" w:rsidP="00795601">
            <w:pPr>
              <w:jc w:val="center"/>
              <w:rPr>
                <w:color w:val="000000"/>
                <w:lang w:eastAsia="es-MX"/>
              </w:rPr>
            </w:pPr>
            <w:r w:rsidRPr="005A6D84">
              <w:rPr>
                <w:color w:val="000000"/>
                <w:sz w:val="22"/>
                <w:szCs w:val="22"/>
                <w:lang w:eastAsia="es-MX"/>
              </w:rPr>
              <w:t>53</w:t>
            </w:r>
          </w:p>
        </w:tc>
        <w:tc>
          <w:tcPr>
            <w:tcW w:w="1041" w:type="dxa"/>
            <w:vAlign w:val="bottom"/>
          </w:tcPr>
          <w:p w14:paraId="7A44AC35" w14:textId="77777777" w:rsidR="00940D15" w:rsidRPr="005A6D84" w:rsidRDefault="00940D15" w:rsidP="00795601">
            <w:pPr>
              <w:jc w:val="center"/>
              <w:rPr>
                <w:color w:val="000000"/>
                <w:lang w:eastAsia="es-MX"/>
              </w:rPr>
            </w:pPr>
            <w:r w:rsidRPr="005A6D84">
              <w:rPr>
                <w:color w:val="000000"/>
                <w:sz w:val="22"/>
                <w:szCs w:val="22"/>
                <w:lang w:eastAsia="es-MX"/>
              </w:rPr>
              <w:t>34</w:t>
            </w:r>
          </w:p>
        </w:tc>
        <w:tc>
          <w:tcPr>
            <w:tcW w:w="1042" w:type="dxa"/>
            <w:vAlign w:val="bottom"/>
          </w:tcPr>
          <w:p w14:paraId="378F777F"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1" w:type="dxa"/>
            <w:vAlign w:val="bottom"/>
          </w:tcPr>
          <w:p w14:paraId="15E821ED" w14:textId="77777777" w:rsidR="00940D15" w:rsidRPr="005A6D84" w:rsidRDefault="00940D15" w:rsidP="00795601">
            <w:pPr>
              <w:jc w:val="center"/>
              <w:rPr>
                <w:color w:val="000000"/>
                <w:lang w:eastAsia="es-MX"/>
              </w:rPr>
            </w:pPr>
            <w:r w:rsidRPr="005A6D84">
              <w:rPr>
                <w:color w:val="000000"/>
                <w:sz w:val="22"/>
                <w:szCs w:val="22"/>
                <w:lang w:eastAsia="es-MX"/>
              </w:rPr>
              <w:t>43</w:t>
            </w:r>
          </w:p>
        </w:tc>
        <w:tc>
          <w:tcPr>
            <w:tcW w:w="1042" w:type="dxa"/>
            <w:vAlign w:val="bottom"/>
          </w:tcPr>
          <w:p w14:paraId="056A2BF6" w14:textId="77777777" w:rsidR="00940D15" w:rsidRPr="005A6D84" w:rsidRDefault="00940D15" w:rsidP="00795601">
            <w:pPr>
              <w:jc w:val="center"/>
              <w:rPr>
                <w:color w:val="000000"/>
                <w:lang w:eastAsia="es-MX"/>
              </w:rPr>
            </w:pPr>
            <w:r w:rsidRPr="005A6D84">
              <w:rPr>
                <w:color w:val="000000"/>
                <w:sz w:val="22"/>
                <w:szCs w:val="22"/>
                <w:lang w:eastAsia="es-MX"/>
              </w:rPr>
              <w:t>11</w:t>
            </w:r>
          </w:p>
        </w:tc>
        <w:tc>
          <w:tcPr>
            <w:tcW w:w="1142" w:type="dxa"/>
            <w:vAlign w:val="bottom"/>
          </w:tcPr>
          <w:p w14:paraId="55252BF2"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79D173D9" w14:textId="77777777">
        <w:trPr>
          <w:trHeight w:val="603"/>
          <w:jc w:val="center"/>
        </w:trPr>
        <w:tc>
          <w:tcPr>
            <w:tcW w:w="1800" w:type="dxa"/>
            <w:vAlign w:val="bottom"/>
          </w:tcPr>
          <w:p w14:paraId="28341328" w14:textId="77777777" w:rsidR="00940D15" w:rsidRPr="005A6D84" w:rsidRDefault="00940D15" w:rsidP="00795601">
            <w:pPr>
              <w:rPr>
                <w:color w:val="000000"/>
                <w:lang w:eastAsia="es-MX"/>
              </w:rPr>
            </w:pPr>
            <w:r w:rsidRPr="005A6D84">
              <w:rPr>
                <w:color w:val="000000"/>
                <w:sz w:val="22"/>
                <w:szCs w:val="22"/>
                <w:lang w:eastAsia="es-MX"/>
              </w:rPr>
              <w:t>Most frequent type of business</w:t>
            </w:r>
          </w:p>
        </w:tc>
        <w:tc>
          <w:tcPr>
            <w:tcW w:w="900" w:type="dxa"/>
            <w:vAlign w:val="bottom"/>
          </w:tcPr>
          <w:p w14:paraId="70CFA046"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900" w:type="dxa"/>
            <w:vAlign w:val="bottom"/>
          </w:tcPr>
          <w:p w14:paraId="684486DA" w14:textId="77777777" w:rsidR="00940D15" w:rsidRPr="005A6D84" w:rsidRDefault="00940D15" w:rsidP="00795601">
            <w:pPr>
              <w:jc w:val="center"/>
              <w:rPr>
                <w:color w:val="000000"/>
                <w:lang w:eastAsia="es-MX"/>
              </w:rPr>
            </w:pPr>
            <w:r w:rsidRPr="005A6D84">
              <w:rPr>
                <w:color w:val="000000"/>
                <w:sz w:val="22"/>
                <w:szCs w:val="22"/>
                <w:lang w:eastAsia="es-MX"/>
              </w:rPr>
              <w:t>Auto shop  18%</w:t>
            </w:r>
          </w:p>
        </w:tc>
        <w:tc>
          <w:tcPr>
            <w:tcW w:w="965" w:type="dxa"/>
            <w:vAlign w:val="bottom"/>
          </w:tcPr>
          <w:p w14:paraId="27F648EA" w14:textId="77777777" w:rsidR="00940D15" w:rsidRPr="005A6D84" w:rsidRDefault="00940D15" w:rsidP="00795601">
            <w:pPr>
              <w:jc w:val="center"/>
              <w:rPr>
                <w:color w:val="000000"/>
                <w:lang w:eastAsia="es-MX"/>
              </w:rPr>
            </w:pPr>
            <w:r w:rsidRPr="005A6D84">
              <w:rPr>
                <w:color w:val="000000"/>
                <w:sz w:val="22"/>
                <w:szCs w:val="22"/>
                <w:lang w:eastAsia="es-MX"/>
              </w:rPr>
              <w:t>Auto shop 24%</w:t>
            </w:r>
          </w:p>
        </w:tc>
        <w:tc>
          <w:tcPr>
            <w:tcW w:w="1041" w:type="dxa"/>
            <w:vAlign w:val="bottom"/>
          </w:tcPr>
          <w:p w14:paraId="2E580C2E" w14:textId="77777777" w:rsidR="00940D15" w:rsidRPr="005A6D84" w:rsidRDefault="00940D15" w:rsidP="00795601">
            <w:pPr>
              <w:jc w:val="center"/>
              <w:rPr>
                <w:color w:val="000000"/>
                <w:lang w:eastAsia="es-MX"/>
              </w:rPr>
            </w:pPr>
            <w:r w:rsidRPr="005A6D84">
              <w:rPr>
                <w:color w:val="000000"/>
                <w:sz w:val="22"/>
                <w:szCs w:val="22"/>
                <w:lang w:eastAsia="es-MX"/>
              </w:rPr>
              <w:t>Other service* 30%</w:t>
            </w:r>
          </w:p>
        </w:tc>
        <w:tc>
          <w:tcPr>
            <w:tcW w:w="1072" w:type="dxa"/>
            <w:gridSpan w:val="2"/>
            <w:vAlign w:val="bottom"/>
          </w:tcPr>
          <w:p w14:paraId="02D80C05"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900" w:type="dxa"/>
            <w:vAlign w:val="bottom"/>
          </w:tcPr>
          <w:p w14:paraId="3551BDFC" w14:textId="77777777" w:rsidR="00940D15" w:rsidRPr="005A6D84" w:rsidRDefault="00940D15" w:rsidP="00795601">
            <w:pPr>
              <w:jc w:val="center"/>
              <w:rPr>
                <w:color w:val="000000"/>
                <w:lang w:eastAsia="es-MX"/>
              </w:rPr>
            </w:pPr>
            <w:r w:rsidRPr="005A6D84">
              <w:rPr>
                <w:color w:val="000000"/>
                <w:sz w:val="22"/>
                <w:szCs w:val="22"/>
                <w:lang w:eastAsia="es-MX"/>
              </w:rPr>
              <w:t>Other service* 31%</w:t>
            </w:r>
          </w:p>
        </w:tc>
        <w:tc>
          <w:tcPr>
            <w:tcW w:w="1044" w:type="dxa"/>
            <w:vAlign w:val="bottom"/>
          </w:tcPr>
          <w:p w14:paraId="1BF23FCC" w14:textId="77777777" w:rsidR="00940D15" w:rsidRPr="005A6D84" w:rsidRDefault="00940D15" w:rsidP="00795601">
            <w:pPr>
              <w:jc w:val="center"/>
              <w:rPr>
                <w:color w:val="000000"/>
                <w:lang w:eastAsia="es-MX"/>
              </w:rPr>
            </w:pPr>
            <w:r w:rsidRPr="005A6D84">
              <w:rPr>
                <w:color w:val="000000"/>
                <w:sz w:val="22"/>
                <w:szCs w:val="22"/>
                <w:lang w:eastAsia="es-MX"/>
              </w:rPr>
              <w:t>Restaurant 25%</w:t>
            </w:r>
          </w:p>
        </w:tc>
        <w:tc>
          <w:tcPr>
            <w:tcW w:w="1225" w:type="dxa"/>
            <w:vAlign w:val="bottom"/>
          </w:tcPr>
          <w:p w14:paraId="37863805" w14:textId="77777777" w:rsidR="00940D15" w:rsidRPr="005A6D84" w:rsidRDefault="00940D15" w:rsidP="00795601">
            <w:pPr>
              <w:jc w:val="center"/>
              <w:rPr>
                <w:color w:val="000000"/>
                <w:lang w:eastAsia="es-MX"/>
              </w:rPr>
            </w:pPr>
            <w:r w:rsidRPr="005A6D84">
              <w:rPr>
                <w:color w:val="000000"/>
                <w:sz w:val="22"/>
                <w:szCs w:val="22"/>
                <w:lang w:eastAsia="es-MX"/>
              </w:rPr>
              <w:t>Abandoned</w:t>
            </w:r>
          </w:p>
          <w:p w14:paraId="331FF986" w14:textId="77777777" w:rsidR="00940D15" w:rsidRPr="005A6D84" w:rsidRDefault="00940D15" w:rsidP="00795601">
            <w:pPr>
              <w:jc w:val="center"/>
              <w:rPr>
                <w:color w:val="000000"/>
                <w:lang w:eastAsia="es-MX"/>
              </w:rPr>
            </w:pPr>
            <w:r w:rsidRPr="005A6D84">
              <w:rPr>
                <w:color w:val="000000"/>
                <w:sz w:val="22"/>
                <w:szCs w:val="22"/>
                <w:lang w:eastAsia="es-MX"/>
              </w:rPr>
              <w:t>Vacant lot 22%</w:t>
            </w:r>
          </w:p>
        </w:tc>
        <w:tc>
          <w:tcPr>
            <w:tcW w:w="1041" w:type="dxa"/>
            <w:vAlign w:val="bottom"/>
          </w:tcPr>
          <w:p w14:paraId="6CB45E1F" w14:textId="77777777" w:rsidR="00940D15" w:rsidRPr="005A6D84" w:rsidRDefault="00940D15" w:rsidP="00795601">
            <w:pPr>
              <w:jc w:val="center"/>
              <w:rPr>
                <w:color w:val="000000"/>
                <w:lang w:eastAsia="es-MX"/>
              </w:rPr>
            </w:pPr>
            <w:r w:rsidRPr="005A6D84">
              <w:rPr>
                <w:color w:val="000000"/>
                <w:sz w:val="22"/>
                <w:szCs w:val="22"/>
                <w:lang w:eastAsia="es-MX"/>
              </w:rPr>
              <w:t xml:space="preserve">Auto shop </w:t>
            </w:r>
          </w:p>
          <w:p w14:paraId="5E8BC04C" w14:textId="77777777" w:rsidR="00940D15" w:rsidRPr="005A6D84" w:rsidRDefault="00940D15" w:rsidP="00795601">
            <w:pPr>
              <w:jc w:val="center"/>
              <w:rPr>
                <w:color w:val="000000"/>
                <w:lang w:eastAsia="es-MX"/>
              </w:rPr>
            </w:pPr>
            <w:r w:rsidRPr="005A6D84">
              <w:rPr>
                <w:color w:val="000000"/>
                <w:sz w:val="22"/>
                <w:szCs w:val="22"/>
                <w:lang w:eastAsia="es-MX"/>
              </w:rPr>
              <w:t>22%</w:t>
            </w:r>
          </w:p>
        </w:tc>
        <w:tc>
          <w:tcPr>
            <w:tcW w:w="1042" w:type="dxa"/>
            <w:vAlign w:val="bottom"/>
          </w:tcPr>
          <w:p w14:paraId="325D1953"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1041" w:type="dxa"/>
            <w:vAlign w:val="bottom"/>
          </w:tcPr>
          <w:p w14:paraId="38A14657" w14:textId="77777777" w:rsidR="00940D15" w:rsidRPr="005A6D84" w:rsidRDefault="00940D15" w:rsidP="00795601">
            <w:pPr>
              <w:jc w:val="center"/>
              <w:rPr>
                <w:color w:val="000000"/>
                <w:lang w:eastAsia="es-MX"/>
              </w:rPr>
            </w:pPr>
            <w:r w:rsidRPr="005A6D84">
              <w:rPr>
                <w:color w:val="000000"/>
                <w:sz w:val="22"/>
                <w:szCs w:val="22"/>
                <w:lang w:eastAsia="es-MX"/>
              </w:rPr>
              <w:t>Other service* 22%</w:t>
            </w:r>
          </w:p>
        </w:tc>
        <w:tc>
          <w:tcPr>
            <w:tcW w:w="1042" w:type="dxa"/>
            <w:vAlign w:val="bottom"/>
          </w:tcPr>
          <w:p w14:paraId="1E14527F" w14:textId="77777777" w:rsidR="00940D15" w:rsidRPr="005A6D84" w:rsidRDefault="00940D15" w:rsidP="00795601">
            <w:pPr>
              <w:jc w:val="center"/>
              <w:rPr>
                <w:color w:val="000000"/>
                <w:lang w:eastAsia="es-MX"/>
              </w:rPr>
            </w:pPr>
            <w:r w:rsidRPr="005A6D84">
              <w:rPr>
                <w:color w:val="000000"/>
                <w:sz w:val="22"/>
                <w:szCs w:val="22"/>
                <w:lang w:eastAsia="es-MX"/>
              </w:rPr>
              <w:t>Other service* 28%</w:t>
            </w:r>
          </w:p>
        </w:tc>
        <w:tc>
          <w:tcPr>
            <w:tcW w:w="1142" w:type="dxa"/>
            <w:vAlign w:val="bottom"/>
          </w:tcPr>
          <w:p w14:paraId="0CAD9247"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7D0CBFC4" w14:textId="77777777">
        <w:trPr>
          <w:trHeight w:val="280"/>
          <w:jc w:val="center"/>
        </w:trPr>
        <w:tc>
          <w:tcPr>
            <w:tcW w:w="1800" w:type="dxa"/>
            <w:vAlign w:val="bottom"/>
          </w:tcPr>
          <w:p w14:paraId="735645AA" w14:textId="77777777" w:rsidR="00940D15" w:rsidRPr="005A6D84" w:rsidRDefault="00940D15" w:rsidP="00795601">
            <w:pPr>
              <w:rPr>
                <w:color w:val="000000"/>
                <w:lang w:eastAsia="es-MX"/>
              </w:rPr>
            </w:pPr>
            <w:r w:rsidRPr="005A6D84">
              <w:rPr>
                <w:color w:val="000000"/>
                <w:sz w:val="22"/>
                <w:szCs w:val="22"/>
                <w:lang w:eastAsia="es-MX"/>
              </w:rPr>
              <w:t>Bike route</w:t>
            </w:r>
          </w:p>
        </w:tc>
        <w:tc>
          <w:tcPr>
            <w:tcW w:w="900" w:type="dxa"/>
            <w:vAlign w:val="bottom"/>
          </w:tcPr>
          <w:p w14:paraId="4FBB7215" w14:textId="77777777" w:rsidR="00940D15" w:rsidRPr="005A6D84" w:rsidRDefault="00940D15" w:rsidP="00795601">
            <w:pPr>
              <w:jc w:val="center"/>
              <w:rPr>
                <w:color w:val="000000"/>
                <w:lang w:eastAsia="es-MX"/>
              </w:rPr>
            </w:pPr>
            <w:r w:rsidRPr="005A6D84">
              <w:rPr>
                <w:color w:val="000000"/>
                <w:sz w:val="22"/>
                <w:szCs w:val="22"/>
                <w:lang w:eastAsia="es-MX"/>
              </w:rPr>
              <w:t>no</w:t>
            </w:r>
          </w:p>
        </w:tc>
        <w:tc>
          <w:tcPr>
            <w:tcW w:w="900" w:type="dxa"/>
            <w:vAlign w:val="bottom"/>
          </w:tcPr>
          <w:p w14:paraId="65147C0C"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965" w:type="dxa"/>
            <w:vAlign w:val="bottom"/>
          </w:tcPr>
          <w:p w14:paraId="5DE7D231"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041" w:type="dxa"/>
            <w:vAlign w:val="bottom"/>
          </w:tcPr>
          <w:p w14:paraId="217788FB"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072" w:type="dxa"/>
            <w:gridSpan w:val="2"/>
            <w:vAlign w:val="bottom"/>
          </w:tcPr>
          <w:p w14:paraId="01CEBD3C"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900" w:type="dxa"/>
            <w:vAlign w:val="bottom"/>
          </w:tcPr>
          <w:p w14:paraId="733E552D"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044" w:type="dxa"/>
            <w:vAlign w:val="bottom"/>
          </w:tcPr>
          <w:p w14:paraId="395689E6"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225" w:type="dxa"/>
            <w:vAlign w:val="bottom"/>
          </w:tcPr>
          <w:p w14:paraId="47F51259"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041" w:type="dxa"/>
            <w:vAlign w:val="bottom"/>
          </w:tcPr>
          <w:p w14:paraId="1FCDB959"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042" w:type="dxa"/>
            <w:vAlign w:val="bottom"/>
          </w:tcPr>
          <w:p w14:paraId="324C5D14" w14:textId="77777777" w:rsidR="00940D15" w:rsidRPr="005A6D84" w:rsidRDefault="00940D15" w:rsidP="00795601">
            <w:pPr>
              <w:jc w:val="center"/>
              <w:rPr>
                <w:color w:val="000000"/>
                <w:lang w:eastAsia="es-MX"/>
              </w:rPr>
            </w:pPr>
            <w:r w:rsidRPr="005A6D84">
              <w:rPr>
                <w:color w:val="000000"/>
                <w:sz w:val="22"/>
                <w:szCs w:val="22"/>
                <w:lang w:eastAsia="es-MX"/>
              </w:rPr>
              <w:t>no</w:t>
            </w:r>
          </w:p>
        </w:tc>
        <w:tc>
          <w:tcPr>
            <w:tcW w:w="1041" w:type="dxa"/>
            <w:vAlign w:val="bottom"/>
          </w:tcPr>
          <w:p w14:paraId="369BA8A0"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042" w:type="dxa"/>
            <w:vAlign w:val="bottom"/>
          </w:tcPr>
          <w:p w14:paraId="0CA0CC3C" w14:textId="77777777" w:rsidR="00940D15" w:rsidRPr="005A6D84" w:rsidRDefault="00940D15" w:rsidP="00795601">
            <w:pPr>
              <w:jc w:val="center"/>
              <w:rPr>
                <w:color w:val="000000"/>
                <w:lang w:eastAsia="es-MX"/>
              </w:rPr>
            </w:pPr>
            <w:r w:rsidRPr="005A6D84">
              <w:rPr>
                <w:color w:val="000000"/>
                <w:sz w:val="22"/>
                <w:szCs w:val="22"/>
                <w:lang w:eastAsia="es-MX"/>
              </w:rPr>
              <w:t>yes</w:t>
            </w:r>
          </w:p>
        </w:tc>
        <w:tc>
          <w:tcPr>
            <w:tcW w:w="1142" w:type="dxa"/>
            <w:vAlign w:val="bottom"/>
          </w:tcPr>
          <w:p w14:paraId="0FC7BF90"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3BC8C8A5" w14:textId="77777777">
        <w:trPr>
          <w:trHeight w:val="268"/>
          <w:jc w:val="center"/>
        </w:trPr>
        <w:tc>
          <w:tcPr>
            <w:tcW w:w="1800" w:type="dxa"/>
            <w:vAlign w:val="bottom"/>
          </w:tcPr>
          <w:p w14:paraId="6D25B4D7" w14:textId="77777777" w:rsidR="00940D15" w:rsidRPr="005A6D84" w:rsidRDefault="00940D15" w:rsidP="00795601">
            <w:pPr>
              <w:rPr>
                <w:color w:val="000000"/>
                <w:lang w:eastAsia="es-MX"/>
              </w:rPr>
            </w:pPr>
            <w:r w:rsidRPr="005A6D84">
              <w:rPr>
                <w:color w:val="000000"/>
                <w:sz w:val="22"/>
                <w:szCs w:val="22"/>
                <w:lang w:eastAsia="es-MX"/>
              </w:rPr>
              <w:t>Bus routes</w:t>
            </w:r>
          </w:p>
        </w:tc>
        <w:tc>
          <w:tcPr>
            <w:tcW w:w="900" w:type="dxa"/>
            <w:vAlign w:val="bottom"/>
          </w:tcPr>
          <w:p w14:paraId="5A979902" w14:textId="77777777" w:rsidR="00940D15" w:rsidRPr="005A6D84" w:rsidRDefault="00940D15" w:rsidP="00795601">
            <w:pPr>
              <w:jc w:val="center"/>
              <w:rPr>
                <w:color w:val="000000"/>
                <w:lang w:eastAsia="es-MX"/>
              </w:rPr>
            </w:pPr>
            <w:r w:rsidRPr="005A6D84">
              <w:rPr>
                <w:color w:val="000000"/>
                <w:sz w:val="22"/>
                <w:szCs w:val="22"/>
                <w:lang w:eastAsia="es-MX"/>
              </w:rPr>
              <w:t>no</w:t>
            </w:r>
          </w:p>
        </w:tc>
        <w:tc>
          <w:tcPr>
            <w:tcW w:w="900" w:type="dxa"/>
            <w:vAlign w:val="bottom"/>
          </w:tcPr>
          <w:p w14:paraId="04D5DA24" w14:textId="77777777" w:rsidR="00940D15" w:rsidRPr="005A6D84" w:rsidRDefault="00940D15" w:rsidP="00795601">
            <w:pPr>
              <w:jc w:val="center"/>
              <w:rPr>
                <w:color w:val="000000"/>
                <w:lang w:eastAsia="es-MX"/>
              </w:rPr>
            </w:pPr>
            <w:r w:rsidRPr="005A6D84">
              <w:rPr>
                <w:color w:val="000000"/>
                <w:sz w:val="22"/>
                <w:szCs w:val="22"/>
                <w:lang w:eastAsia="es-MX"/>
              </w:rPr>
              <w:t>6</w:t>
            </w:r>
          </w:p>
        </w:tc>
        <w:tc>
          <w:tcPr>
            <w:tcW w:w="965" w:type="dxa"/>
            <w:vAlign w:val="bottom"/>
          </w:tcPr>
          <w:p w14:paraId="1B1E4696" w14:textId="77777777" w:rsidR="00940D15" w:rsidRPr="005A6D84" w:rsidRDefault="00940D15" w:rsidP="00795601">
            <w:pPr>
              <w:jc w:val="center"/>
              <w:rPr>
                <w:color w:val="000000"/>
                <w:lang w:eastAsia="es-MX"/>
              </w:rPr>
            </w:pPr>
            <w:r w:rsidRPr="005A6D84">
              <w:rPr>
                <w:color w:val="000000"/>
                <w:sz w:val="22"/>
                <w:szCs w:val="22"/>
                <w:lang w:eastAsia="es-MX"/>
              </w:rPr>
              <w:t>5</w:t>
            </w:r>
          </w:p>
        </w:tc>
        <w:tc>
          <w:tcPr>
            <w:tcW w:w="1041" w:type="dxa"/>
            <w:vAlign w:val="bottom"/>
          </w:tcPr>
          <w:p w14:paraId="7386A21C"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1072" w:type="dxa"/>
            <w:gridSpan w:val="2"/>
            <w:vAlign w:val="bottom"/>
          </w:tcPr>
          <w:p w14:paraId="0F06002A"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900" w:type="dxa"/>
            <w:vAlign w:val="bottom"/>
          </w:tcPr>
          <w:p w14:paraId="744105A0" w14:textId="77777777" w:rsidR="00940D15" w:rsidRPr="005A6D84" w:rsidRDefault="00940D15" w:rsidP="00795601">
            <w:pPr>
              <w:jc w:val="center"/>
              <w:rPr>
                <w:color w:val="000000"/>
                <w:lang w:eastAsia="es-MX"/>
              </w:rPr>
            </w:pPr>
            <w:r w:rsidRPr="005A6D84">
              <w:rPr>
                <w:color w:val="000000"/>
                <w:sz w:val="22"/>
                <w:szCs w:val="22"/>
                <w:lang w:eastAsia="es-MX"/>
              </w:rPr>
              <w:t>5</w:t>
            </w:r>
          </w:p>
        </w:tc>
        <w:tc>
          <w:tcPr>
            <w:tcW w:w="1044" w:type="dxa"/>
            <w:vAlign w:val="bottom"/>
          </w:tcPr>
          <w:p w14:paraId="7D81B811"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1225" w:type="dxa"/>
            <w:vAlign w:val="bottom"/>
          </w:tcPr>
          <w:p w14:paraId="747F6892"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1041" w:type="dxa"/>
            <w:vAlign w:val="bottom"/>
          </w:tcPr>
          <w:p w14:paraId="56DBA7BE"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042" w:type="dxa"/>
            <w:vAlign w:val="bottom"/>
          </w:tcPr>
          <w:p w14:paraId="43BF03DB" w14:textId="77777777" w:rsidR="00940D15" w:rsidRPr="005A6D84" w:rsidRDefault="00940D15" w:rsidP="00795601">
            <w:pPr>
              <w:jc w:val="center"/>
              <w:rPr>
                <w:color w:val="000000"/>
                <w:lang w:eastAsia="es-MX"/>
              </w:rPr>
            </w:pPr>
            <w:r w:rsidRPr="005A6D84">
              <w:rPr>
                <w:color w:val="000000"/>
                <w:sz w:val="22"/>
                <w:szCs w:val="22"/>
                <w:lang w:eastAsia="es-MX"/>
              </w:rPr>
              <w:t>no</w:t>
            </w:r>
          </w:p>
        </w:tc>
        <w:tc>
          <w:tcPr>
            <w:tcW w:w="1041" w:type="dxa"/>
            <w:vAlign w:val="bottom"/>
          </w:tcPr>
          <w:p w14:paraId="1203CE9D" w14:textId="77777777" w:rsidR="00940D15" w:rsidRPr="005A6D84" w:rsidRDefault="00940D15" w:rsidP="00795601">
            <w:pPr>
              <w:jc w:val="center"/>
              <w:rPr>
                <w:color w:val="000000"/>
                <w:lang w:eastAsia="es-MX"/>
              </w:rPr>
            </w:pPr>
            <w:r w:rsidRPr="005A6D84">
              <w:rPr>
                <w:color w:val="000000"/>
                <w:sz w:val="22"/>
                <w:szCs w:val="22"/>
                <w:lang w:eastAsia="es-MX"/>
              </w:rPr>
              <w:t>7</w:t>
            </w:r>
          </w:p>
        </w:tc>
        <w:tc>
          <w:tcPr>
            <w:tcW w:w="1042" w:type="dxa"/>
            <w:vAlign w:val="bottom"/>
          </w:tcPr>
          <w:p w14:paraId="371A1FA6" w14:textId="77777777" w:rsidR="00940D15" w:rsidRPr="005A6D84" w:rsidRDefault="00940D15" w:rsidP="00795601">
            <w:pPr>
              <w:jc w:val="center"/>
              <w:rPr>
                <w:color w:val="000000"/>
                <w:lang w:eastAsia="es-MX"/>
              </w:rPr>
            </w:pPr>
            <w:r w:rsidRPr="005A6D84">
              <w:rPr>
                <w:color w:val="000000"/>
                <w:sz w:val="22"/>
                <w:szCs w:val="22"/>
                <w:lang w:eastAsia="es-MX"/>
              </w:rPr>
              <w:t>7</w:t>
            </w:r>
          </w:p>
        </w:tc>
        <w:tc>
          <w:tcPr>
            <w:tcW w:w="1142" w:type="dxa"/>
            <w:vAlign w:val="bottom"/>
          </w:tcPr>
          <w:p w14:paraId="003CE924"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16063716" w14:textId="77777777">
        <w:trPr>
          <w:trHeight w:val="327"/>
          <w:jc w:val="center"/>
        </w:trPr>
        <w:tc>
          <w:tcPr>
            <w:tcW w:w="1800" w:type="dxa"/>
            <w:vAlign w:val="bottom"/>
          </w:tcPr>
          <w:p w14:paraId="20C62F1F" w14:textId="77777777" w:rsidR="00940D15" w:rsidRPr="005A6D84" w:rsidRDefault="00940D15" w:rsidP="00795601">
            <w:pPr>
              <w:rPr>
                <w:color w:val="000000"/>
                <w:lang w:eastAsia="es-MX"/>
              </w:rPr>
            </w:pPr>
            <w:r w:rsidRPr="005A6D84">
              <w:rPr>
                <w:color w:val="000000"/>
                <w:sz w:val="22"/>
                <w:szCs w:val="22"/>
                <w:lang w:eastAsia="es-MX"/>
              </w:rPr>
              <w:t>Walk or bike in neighborhood</w:t>
            </w:r>
          </w:p>
        </w:tc>
        <w:tc>
          <w:tcPr>
            <w:tcW w:w="900" w:type="dxa"/>
            <w:vAlign w:val="bottom"/>
          </w:tcPr>
          <w:p w14:paraId="6E0A7D91" w14:textId="77777777" w:rsidR="00940D15" w:rsidRPr="005A6D84" w:rsidRDefault="00940D15" w:rsidP="00795601">
            <w:pPr>
              <w:jc w:val="center"/>
              <w:rPr>
                <w:color w:val="000000"/>
                <w:lang w:eastAsia="es-MX"/>
              </w:rPr>
            </w:pPr>
            <w:r w:rsidRPr="005A6D84">
              <w:rPr>
                <w:color w:val="000000"/>
                <w:sz w:val="22"/>
                <w:szCs w:val="22"/>
                <w:lang w:eastAsia="es-MX"/>
              </w:rPr>
              <w:t>84%</w:t>
            </w:r>
          </w:p>
        </w:tc>
        <w:tc>
          <w:tcPr>
            <w:tcW w:w="900" w:type="dxa"/>
            <w:vAlign w:val="bottom"/>
          </w:tcPr>
          <w:p w14:paraId="2380248E" w14:textId="77777777" w:rsidR="00940D15" w:rsidRPr="005A6D84" w:rsidRDefault="00940D15" w:rsidP="00795601">
            <w:pPr>
              <w:jc w:val="center"/>
              <w:rPr>
                <w:color w:val="000000"/>
                <w:lang w:eastAsia="es-MX"/>
              </w:rPr>
            </w:pPr>
            <w:r w:rsidRPr="005A6D84">
              <w:rPr>
                <w:color w:val="000000"/>
                <w:sz w:val="22"/>
                <w:szCs w:val="22"/>
                <w:lang w:eastAsia="es-MX"/>
              </w:rPr>
              <w:t>77%</w:t>
            </w:r>
          </w:p>
        </w:tc>
        <w:tc>
          <w:tcPr>
            <w:tcW w:w="965" w:type="dxa"/>
            <w:vAlign w:val="bottom"/>
          </w:tcPr>
          <w:p w14:paraId="06071F40" w14:textId="77777777" w:rsidR="00940D15" w:rsidRPr="005A6D84" w:rsidRDefault="00940D15" w:rsidP="00795601">
            <w:pPr>
              <w:jc w:val="center"/>
              <w:rPr>
                <w:color w:val="000000"/>
                <w:lang w:eastAsia="es-MX"/>
              </w:rPr>
            </w:pPr>
            <w:r w:rsidRPr="005A6D84">
              <w:rPr>
                <w:color w:val="000000"/>
                <w:sz w:val="22"/>
                <w:szCs w:val="22"/>
                <w:lang w:eastAsia="es-MX"/>
              </w:rPr>
              <w:t>60%</w:t>
            </w:r>
          </w:p>
        </w:tc>
        <w:tc>
          <w:tcPr>
            <w:tcW w:w="1041" w:type="dxa"/>
            <w:vAlign w:val="bottom"/>
          </w:tcPr>
          <w:p w14:paraId="5A468E8C" w14:textId="77777777" w:rsidR="00940D15" w:rsidRPr="005A6D84" w:rsidRDefault="00940D15" w:rsidP="00795601">
            <w:pPr>
              <w:jc w:val="center"/>
              <w:rPr>
                <w:color w:val="000000"/>
                <w:lang w:eastAsia="es-MX"/>
              </w:rPr>
            </w:pPr>
            <w:r w:rsidRPr="005A6D84">
              <w:rPr>
                <w:color w:val="000000"/>
                <w:sz w:val="22"/>
                <w:szCs w:val="22"/>
                <w:lang w:eastAsia="es-MX"/>
              </w:rPr>
              <w:t>74%</w:t>
            </w:r>
          </w:p>
        </w:tc>
        <w:tc>
          <w:tcPr>
            <w:tcW w:w="1072" w:type="dxa"/>
            <w:gridSpan w:val="2"/>
            <w:vAlign w:val="bottom"/>
          </w:tcPr>
          <w:p w14:paraId="5FD788D1" w14:textId="77777777" w:rsidR="00940D15" w:rsidRPr="005A6D84" w:rsidRDefault="00940D15" w:rsidP="00795601">
            <w:pPr>
              <w:jc w:val="center"/>
              <w:rPr>
                <w:color w:val="000000"/>
                <w:lang w:eastAsia="es-MX"/>
              </w:rPr>
            </w:pPr>
            <w:r w:rsidRPr="005A6D84">
              <w:rPr>
                <w:color w:val="000000"/>
                <w:sz w:val="22"/>
                <w:szCs w:val="22"/>
                <w:lang w:eastAsia="es-MX"/>
              </w:rPr>
              <w:t>74%</w:t>
            </w:r>
          </w:p>
        </w:tc>
        <w:tc>
          <w:tcPr>
            <w:tcW w:w="900" w:type="dxa"/>
            <w:vAlign w:val="bottom"/>
          </w:tcPr>
          <w:p w14:paraId="6AA8B2B5" w14:textId="77777777" w:rsidR="00940D15" w:rsidRPr="005A6D84" w:rsidRDefault="00940D15" w:rsidP="00795601">
            <w:pPr>
              <w:jc w:val="center"/>
              <w:rPr>
                <w:color w:val="000000"/>
                <w:lang w:eastAsia="es-MX"/>
              </w:rPr>
            </w:pPr>
            <w:r w:rsidRPr="005A6D84">
              <w:rPr>
                <w:color w:val="000000"/>
                <w:sz w:val="22"/>
                <w:szCs w:val="22"/>
                <w:lang w:eastAsia="es-MX"/>
              </w:rPr>
              <w:t>80%</w:t>
            </w:r>
          </w:p>
        </w:tc>
        <w:tc>
          <w:tcPr>
            <w:tcW w:w="1044" w:type="dxa"/>
            <w:vAlign w:val="bottom"/>
          </w:tcPr>
          <w:p w14:paraId="64DCC276" w14:textId="77777777" w:rsidR="00940D15" w:rsidRPr="005A6D84" w:rsidRDefault="00940D15" w:rsidP="00795601">
            <w:pPr>
              <w:jc w:val="center"/>
              <w:rPr>
                <w:color w:val="000000"/>
                <w:lang w:eastAsia="es-MX"/>
              </w:rPr>
            </w:pPr>
            <w:r w:rsidRPr="005A6D84">
              <w:rPr>
                <w:color w:val="000000"/>
                <w:sz w:val="22"/>
                <w:szCs w:val="22"/>
                <w:lang w:eastAsia="es-MX"/>
              </w:rPr>
              <w:t>33%</w:t>
            </w:r>
          </w:p>
        </w:tc>
        <w:tc>
          <w:tcPr>
            <w:tcW w:w="1225" w:type="dxa"/>
            <w:vAlign w:val="bottom"/>
          </w:tcPr>
          <w:p w14:paraId="041D1A9D" w14:textId="77777777" w:rsidR="00940D15" w:rsidRPr="005A6D84" w:rsidRDefault="00940D15" w:rsidP="00795601">
            <w:pPr>
              <w:jc w:val="center"/>
              <w:rPr>
                <w:color w:val="000000"/>
                <w:lang w:eastAsia="es-MX"/>
              </w:rPr>
            </w:pPr>
            <w:r w:rsidRPr="005A6D84">
              <w:rPr>
                <w:color w:val="000000"/>
                <w:sz w:val="22"/>
                <w:szCs w:val="22"/>
                <w:lang w:eastAsia="es-MX"/>
              </w:rPr>
              <w:t>13%</w:t>
            </w:r>
          </w:p>
        </w:tc>
        <w:tc>
          <w:tcPr>
            <w:tcW w:w="1041" w:type="dxa"/>
            <w:vAlign w:val="bottom"/>
          </w:tcPr>
          <w:p w14:paraId="6B92A22B"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1042" w:type="dxa"/>
            <w:vAlign w:val="bottom"/>
          </w:tcPr>
          <w:p w14:paraId="7364411B" w14:textId="77777777" w:rsidR="00940D15" w:rsidRPr="005A6D84" w:rsidRDefault="00940D15" w:rsidP="00795601">
            <w:pPr>
              <w:jc w:val="center"/>
              <w:rPr>
                <w:color w:val="000000"/>
                <w:lang w:eastAsia="es-MX"/>
              </w:rPr>
            </w:pPr>
            <w:r w:rsidRPr="005A6D84">
              <w:rPr>
                <w:color w:val="000000"/>
                <w:sz w:val="22"/>
                <w:szCs w:val="22"/>
                <w:lang w:eastAsia="es-MX"/>
              </w:rPr>
              <w:t>40%</w:t>
            </w:r>
          </w:p>
        </w:tc>
        <w:tc>
          <w:tcPr>
            <w:tcW w:w="1041" w:type="dxa"/>
            <w:vAlign w:val="bottom"/>
          </w:tcPr>
          <w:p w14:paraId="6822A1D1" w14:textId="77777777" w:rsidR="00940D15" w:rsidRPr="005A6D84" w:rsidRDefault="00940D15" w:rsidP="00795601">
            <w:pPr>
              <w:jc w:val="center"/>
              <w:rPr>
                <w:color w:val="000000"/>
                <w:lang w:eastAsia="es-MX"/>
              </w:rPr>
            </w:pPr>
            <w:r w:rsidRPr="005A6D84">
              <w:rPr>
                <w:color w:val="000000"/>
                <w:sz w:val="22"/>
                <w:szCs w:val="22"/>
                <w:lang w:eastAsia="es-MX"/>
              </w:rPr>
              <w:t>72%</w:t>
            </w:r>
          </w:p>
        </w:tc>
        <w:tc>
          <w:tcPr>
            <w:tcW w:w="1042" w:type="dxa"/>
            <w:vAlign w:val="bottom"/>
          </w:tcPr>
          <w:p w14:paraId="13A6B641"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1142" w:type="dxa"/>
            <w:vAlign w:val="bottom"/>
          </w:tcPr>
          <w:p w14:paraId="7DAAA198"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3CE54101" w14:textId="77777777">
        <w:trPr>
          <w:trHeight w:val="268"/>
          <w:jc w:val="center"/>
        </w:trPr>
        <w:tc>
          <w:tcPr>
            <w:tcW w:w="15155" w:type="dxa"/>
            <w:gridSpan w:val="15"/>
            <w:shd w:val="clear" w:color="auto" w:fill="D9D9D9"/>
            <w:vAlign w:val="bottom"/>
          </w:tcPr>
          <w:p w14:paraId="077C0C01" w14:textId="77777777" w:rsidR="00940D15" w:rsidRPr="005A6D84" w:rsidRDefault="00940D15" w:rsidP="00795601">
            <w:pPr>
              <w:jc w:val="center"/>
              <w:rPr>
                <w:color w:val="000000"/>
                <w:lang w:eastAsia="es-MX"/>
              </w:rPr>
            </w:pPr>
            <w:r w:rsidRPr="005A6D84">
              <w:rPr>
                <w:b/>
                <w:bCs/>
                <w:color w:val="000000"/>
                <w:sz w:val="22"/>
                <w:szCs w:val="22"/>
                <w:lang w:eastAsia="es-MX"/>
              </w:rPr>
              <w:t>Nutrition Environment (Observational Assessment; Neighborhood Survey)</w:t>
            </w:r>
          </w:p>
        </w:tc>
      </w:tr>
      <w:tr w:rsidR="00940D15" w:rsidRPr="005A6D84" w14:paraId="6D9016C6" w14:textId="77777777">
        <w:trPr>
          <w:trHeight w:val="327"/>
          <w:jc w:val="center"/>
        </w:trPr>
        <w:tc>
          <w:tcPr>
            <w:tcW w:w="1800" w:type="dxa"/>
            <w:vAlign w:val="bottom"/>
          </w:tcPr>
          <w:p w14:paraId="41FB9782" w14:textId="77777777" w:rsidR="00940D15" w:rsidRPr="005A6D84" w:rsidRDefault="00940D15" w:rsidP="00795601">
            <w:pPr>
              <w:rPr>
                <w:color w:val="000000"/>
                <w:lang w:eastAsia="es-MX"/>
              </w:rPr>
            </w:pPr>
            <w:r w:rsidRPr="005A6D84">
              <w:rPr>
                <w:color w:val="000000"/>
                <w:sz w:val="22"/>
                <w:szCs w:val="22"/>
                <w:lang w:eastAsia="es-MX"/>
              </w:rPr>
              <w:t>Large grocery</w:t>
            </w:r>
          </w:p>
        </w:tc>
        <w:tc>
          <w:tcPr>
            <w:tcW w:w="900" w:type="dxa"/>
            <w:vAlign w:val="bottom"/>
          </w:tcPr>
          <w:p w14:paraId="6BF02F64"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900" w:type="dxa"/>
            <w:vAlign w:val="bottom"/>
          </w:tcPr>
          <w:p w14:paraId="7856EF02"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965" w:type="dxa"/>
            <w:vAlign w:val="bottom"/>
          </w:tcPr>
          <w:p w14:paraId="3A1C1E48"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1041" w:type="dxa"/>
            <w:vAlign w:val="bottom"/>
          </w:tcPr>
          <w:p w14:paraId="63C2820D"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2" w:type="dxa"/>
            <w:vAlign w:val="bottom"/>
          </w:tcPr>
          <w:p w14:paraId="38041B05"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930" w:type="dxa"/>
            <w:gridSpan w:val="2"/>
            <w:vAlign w:val="bottom"/>
          </w:tcPr>
          <w:p w14:paraId="108D50AE"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1044" w:type="dxa"/>
            <w:vAlign w:val="bottom"/>
          </w:tcPr>
          <w:p w14:paraId="185CF017"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1225" w:type="dxa"/>
            <w:vAlign w:val="bottom"/>
          </w:tcPr>
          <w:p w14:paraId="407363C5"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1" w:type="dxa"/>
            <w:vAlign w:val="bottom"/>
          </w:tcPr>
          <w:p w14:paraId="25C74600"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042" w:type="dxa"/>
            <w:vAlign w:val="bottom"/>
          </w:tcPr>
          <w:p w14:paraId="68D521C6"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1" w:type="dxa"/>
            <w:vAlign w:val="bottom"/>
          </w:tcPr>
          <w:p w14:paraId="537D9679"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042" w:type="dxa"/>
            <w:vAlign w:val="bottom"/>
          </w:tcPr>
          <w:p w14:paraId="14028F3B"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142" w:type="dxa"/>
            <w:vAlign w:val="bottom"/>
          </w:tcPr>
          <w:p w14:paraId="413D73CB"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56D0C845" w14:textId="77777777">
        <w:trPr>
          <w:trHeight w:val="295"/>
          <w:jc w:val="center"/>
        </w:trPr>
        <w:tc>
          <w:tcPr>
            <w:tcW w:w="1800" w:type="dxa"/>
            <w:vAlign w:val="bottom"/>
          </w:tcPr>
          <w:p w14:paraId="4BC69693" w14:textId="77777777" w:rsidR="00940D15" w:rsidRPr="005A6D84" w:rsidRDefault="00940D15" w:rsidP="00795601">
            <w:pPr>
              <w:rPr>
                <w:color w:val="000000"/>
                <w:lang w:eastAsia="es-MX"/>
              </w:rPr>
            </w:pPr>
            <w:r w:rsidRPr="005A6D84">
              <w:rPr>
                <w:color w:val="000000"/>
                <w:sz w:val="22"/>
                <w:szCs w:val="22"/>
                <w:lang w:eastAsia="es-MX"/>
              </w:rPr>
              <w:t>Convenience mart</w:t>
            </w:r>
          </w:p>
        </w:tc>
        <w:tc>
          <w:tcPr>
            <w:tcW w:w="900" w:type="dxa"/>
            <w:vAlign w:val="bottom"/>
          </w:tcPr>
          <w:p w14:paraId="1C8B6DEE" w14:textId="77777777" w:rsidR="00940D15" w:rsidRPr="005A6D84" w:rsidRDefault="00940D15" w:rsidP="00795601">
            <w:pPr>
              <w:jc w:val="center"/>
              <w:rPr>
                <w:color w:val="000000"/>
                <w:lang w:eastAsia="es-MX"/>
              </w:rPr>
            </w:pPr>
            <w:r w:rsidRPr="005A6D84">
              <w:rPr>
                <w:color w:val="000000"/>
                <w:sz w:val="22"/>
                <w:szCs w:val="22"/>
                <w:lang w:eastAsia="es-MX"/>
              </w:rPr>
              <w:t>5</w:t>
            </w:r>
          </w:p>
        </w:tc>
        <w:tc>
          <w:tcPr>
            <w:tcW w:w="900" w:type="dxa"/>
            <w:vAlign w:val="bottom"/>
          </w:tcPr>
          <w:p w14:paraId="2C0505D9" w14:textId="77777777" w:rsidR="00940D15" w:rsidRPr="005A6D84" w:rsidRDefault="00940D15" w:rsidP="00795601">
            <w:pPr>
              <w:jc w:val="center"/>
              <w:rPr>
                <w:color w:val="000000"/>
                <w:lang w:eastAsia="es-MX"/>
              </w:rPr>
            </w:pPr>
            <w:r w:rsidRPr="005A6D84">
              <w:rPr>
                <w:color w:val="000000"/>
                <w:sz w:val="22"/>
                <w:szCs w:val="22"/>
                <w:lang w:eastAsia="es-MX"/>
              </w:rPr>
              <w:t>4</w:t>
            </w:r>
          </w:p>
        </w:tc>
        <w:tc>
          <w:tcPr>
            <w:tcW w:w="965" w:type="dxa"/>
            <w:vAlign w:val="bottom"/>
          </w:tcPr>
          <w:p w14:paraId="57BE2D1F"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041" w:type="dxa"/>
            <w:vAlign w:val="bottom"/>
          </w:tcPr>
          <w:p w14:paraId="35D5EF8E"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1042" w:type="dxa"/>
            <w:vAlign w:val="bottom"/>
          </w:tcPr>
          <w:p w14:paraId="6B53E6A3" w14:textId="77777777" w:rsidR="00940D15" w:rsidRPr="005A6D84" w:rsidRDefault="00940D15" w:rsidP="00795601">
            <w:pPr>
              <w:jc w:val="center"/>
              <w:rPr>
                <w:color w:val="000000"/>
                <w:lang w:eastAsia="es-MX"/>
              </w:rPr>
            </w:pPr>
            <w:r w:rsidRPr="005A6D84">
              <w:rPr>
                <w:color w:val="000000"/>
                <w:sz w:val="22"/>
                <w:szCs w:val="22"/>
                <w:lang w:eastAsia="es-MX"/>
              </w:rPr>
              <w:t>11</w:t>
            </w:r>
          </w:p>
        </w:tc>
        <w:tc>
          <w:tcPr>
            <w:tcW w:w="930" w:type="dxa"/>
            <w:gridSpan w:val="2"/>
            <w:vAlign w:val="bottom"/>
          </w:tcPr>
          <w:p w14:paraId="0CC3E312"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1044" w:type="dxa"/>
            <w:vAlign w:val="bottom"/>
          </w:tcPr>
          <w:p w14:paraId="51EAD3B9"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225" w:type="dxa"/>
            <w:vAlign w:val="bottom"/>
          </w:tcPr>
          <w:p w14:paraId="38C9442A" w14:textId="77777777" w:rsidR="00940D15" w:rsidRPr="005A6D84" w:rsidRDefault="00940D15" w:rsidP="00795601">
            <w:pPr>
              <w:jc w:val="center"/>
              <w:rPr>
                <w:color w:val="000000"/>
                <w:lang w:eastAsia="es-MX"/>
              </w:rPr>
            </w:pPr>
            <w:r w:rsidRPr="005A6D84">
              <w:rPr>
                <w:color w:val="000000"/>
                <w:sz w:val="22"/>
                <w:szCs w:val="22"/>
                <w:lang w:eastAsia="es-MX"/>
              </w:rPr>
              <w:t>3</w:t>
            </w:r>
          </w:p>
        </w:tc>
        <w:tc>
          <w:tcPr>
            <w:tcW w:w="1041" w:type="dxa"/>
            <w:vAlign w:val="bottom"/>
          </w:tcPr>
          <w:p w14:paraId="1C48BE93" w14:textId="77777777" w:rsidR="00940D15" w:rsidRPr="005A6D84" w:rsidRDefault="00940D15" w:rsidP="00795601">
            <w:pPr>
              <w:jc w:val="center"/>
              <w:rPr>
                <w:color w:val="000000"/>
                <w:lang w:eastAsia="es-MX"/>
              </w:rPr>
            </w:pPr>
            <w:r w:rsidRPr="005A6D84">
              <w:rPr>
                <w:color w:val="000000"/>
                <w:sz w:val="22"/>
                <w:szCs w:val="22"/>
                <w:lang w:eastAsia="es-MX"/>
              </w:rPr>
              <w:t>5</w:t>
            </w:r>
          </w:p>
        </w:tc>
        <w:tc>
          <w:tcPr>
            <w:tcW w:w="1042" w:type="dxa"/>
            <w:vAlign w:val="bottom"/>
          </w:tcPr>
          <w:p w14:paraId="2DC3D389"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1041" w:type="dxa"/>
            <w:vAlign w:val="bottom"/>
          </w:tcPr>
          <w:p w14:paraId="4C970935" w14:textId="77777777" w:rsidR="00940D15" w:rsidRPr="005A6D84" w:rsidRDefault="00940D15" w:rsidP="00795601">
            <w:pPr>
              <w:jc w:val="center"/>
              <w:rPr>
                <w:color w:val="000000"/>
                <w:lang w:eastAsia="es-MX"/>
              </w:rPr>
            </w:pPr>
            <w:r w:rsidRPr="005A6D84">
              <w:rPr>
                <w:color w:val="000000"/>
                <w:sz w:val="22"/>
                <w:szCs w:val="22"/>
                <w:lang w:eastAsia="es-MX"/>
              </w:rPr>
              <w:t>8</w:t>
            </w:r>
          </w:p>
        </w:tc>
        <w:tc>
          <w:tcPr>
            <w:tcW w:w="1042" w:type="dxa"/>
            <w:vAlign w:val="bottom"/>
          </w:tcPr>
          <w:p w14:paraId="5949194F"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142" w:type="dxa"/>
            <w:vAlign w:val="bottom"/>
          </w:tcPr>
          <w:p w14:paraId="645CCA7B"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2456100F" w14:textId="77777777">
        <w:trPr>
          <w:trHeight w:val="280"/>
          <w:jc w:val="center"/>
        </w:trPr>
        <w:tc>
          <w:tcPr>
            <w:tcW w:w="1800" w:type="dxa"/>
            <w:vAlign w:val="bottom"/>
          </w:tcPr>
          <w:p w14:paraId="229FD503" w14:textId="77777777" w:rsidR="00940D15" w:rsidRPr="005A6D84" w:rsidRDefault="00940D15" w:rsidP="00795601">
            <w:pPr>
              <w:rPr>
                <w:color w:val="000000"/>
                <w:lang w:eastAsia="es-MX"/>
              </w:rPr>
            </w:pPr>
            <w:r w:rsidRPr="005A6D84">
              <w:rPr>
                <w:color w:val="000000"/>
                <w:sz w:val="22"/>
                <w:szCs w:val="22"/>
                <w:lang w:eastAsia="es-MX"/>
              </w:rPr>
              <w:t>Farmer's Market</w:t>
            </w:r>
          </w:p>
        </w:tc>
        <w:tc>
          <w:tcPr>
            <w:tcW w:w="900" w:type="dxa"/>
            <w:vAlign w:val="bottom"/>
          </w:tcPr>
          <w:p w14:paraId="68BB94AD" w14:textId="77777777" w:rsidR="00940D15" w:rsidRPr="005A6D84" w:rsidRDefault="00940D15" w:rsidP="00795601">
            <w:pPr>
              <w:jc w:val="center"/>
              <w:rPr>
                <w:color w:val="000000"/>
                <w:lang w:eastAsia="es-MX"/>
              </w:rPr>
            </w:pPr>
            <w:r w:rsidRPr="005A6D84">
              <w:rPr>
                <w:color w:val="000000"/>
                <w:sz w:val="22"/>
                <w:szCs w:val="22"/>
                <w:lang w:eastAsia="es-MX"/>
              </w:rPr>
              <w:t>2</w:t>
            </w:r>
          </w:p>
        </w:tc>
        <w:tc>
          <w:tcPr>
            <w:tcW w:w="900" w:type="dxa"/>
            <w:vAlign w:val="bottom"/>
          </w:tcPr>
          <w:p w14:paraId="7F43A0B6"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965" w:type="dxa"/>
            <w:vAlign w:val="bottom"/>
          </w:tcPr>
          <w:p w14:paraId="60796D96"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1" w:type="dxa"/>
            <w:vAlign w:val="bottom"/>
          </w:tcPr>
          <w:p w14:paraId="2D6DFCEB"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2" w:type="dxa"/>
            <w:vAlign w:val="bottom"/>
          </w:tcPr>
          <w:p w14:paraId="6F8C8CA6"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930" w:type="dxa"/>
            <w:gridSpan w:val="2"/>
            <w:vAlign w:val="bottom"/>
          </w:tcPr>
          <w:p w14:paraId="7DFCAEDE"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4" w:type="dxa"/>
            <w:vAlign w:val="bottom"/>
          </w:tcPr>
          <w:p w14:paraId="61CD7082"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225" w:type="dxa"/>
            <w:vAlign w:val="bottom"/>
          </w:tcPr>
          <w:p w14:paraId="216220CB"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1" w:type="dxa"/>
            <w:vAlign w:val="bottom"/>
          </w:tcPr>
          <w:p w14:paraId="4C90BEFF"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2" w:type="dxa"/>
            <w:vAlign w:val="bottom"/>
          </w:tcPr>
          <w:p w14:paraId="67FC1FC4" w14:textId="77777777" w:rsidR="00940D15" w:rsidRPr="005A6D84" w:rsidRDefault="00940D15" w:rsidP="00795601">
            <w:pPr>
              <w:jc w:val="center"/>
              <w:rPr>
                <w:color w:val="000000"/>
                <w:lang w:eastAsia="es-MX"/>
              </w:rPr>
            </w:pPr>
            <w:r w:rsidRPr="005A6D84">
              <w:rPr>
                <w:color w:val="000000"/>
                <w:sz w:val="22"/>
                <w:szCs w:val="22"/>
                <w:lang w:eastAsia="es-MX"/>
              </w:rPr>
              <w:t>0</w:t>
            </w:r>
          </w:p>
        </w:tc>
        <w:tc>
          <w:tcPr>
            <w:tcW w:w="1041" w:type="dxa"/>
            <w:vAlign w:val="bottom"/>
          </w:tcPr>
          <w:p w14:paraId="4E5B87F5"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042" w:type="dxa"/>
            <w:vAlign w:val="bottom"/>
          </w:tcPr>
          <w:p w14:paraId="287B8F1B" w14:textId="77777777" w:rsidR="00940D15" w:rsidRPr="005A6D84" w:rsidRDefault="00940D15" w:rsidP="00795601">
            <w:pPr>
              <w:jc w:val="center"/>
              <w:rPr>
                <w:color w:val="000000"/>
                <w:lang w:eastAsia="es-MX"/>
              </w:rPr>
            </w:pPr>
            <w:r w:rsidRPr="005A6D84">
              <w:rPr>
                <w:color w:val="000000"/>
                <w:sz w:val="22"/>
                <w:szCs w:val="22"/>
                <w:lang w:eastAsia="es-MX"/>
              </w:rPr>
              <w:t>1</w:t>
            </w:r>
          </w:p>
        </w:tc>
        <w:tc>
          <w:tcPr>
            <w:tcW w:w="1142" w:type="dxa"/>
            <w:vAlign w:val="bottom"/>
          </w:tcPr>
          <w:p w14:paraId="272DD521" w14:textId="77777777" w:rsidR="00940D15" w:rsidRPr="005A6D84" w:rsidRDefault="00940D15" w:rsidP="00795601">
            <w:pPr>
              <w:jc w:val="center"/>
              <w:rPr>
                <w:color w:val="000000"/>
                <w:lang w:eastAsia="es-MX"/>
              </w:rPr>
            </w:pPr>
            <w:r w:rsidRPr="005A6D84">
              <w:rPr>
                <w:color w:val="000000"/>
                <w:sz w:val="22"/>
                <w:szCs w:val="22"/>
                <w:lang w:eastAsia="es-MX"/>
              </w:rPr>
              <w:t>-</w:t>
            </w:r>
          </w:p>
        </w:tc>
      </w:tr>
      <w:tr w:rsidR="00940D15" w:rsidRPr="005A6D84" w14:paraId="274E8C72" w14:textId="77777777">
        <w:trPr>
          <w:trHeight w:val="363"/>
          <w:jc w:val="center"/>
        </w:trPr>
        <w:tc>
          <w:tcPr>
            <w:tcW w:w="1800" w:type="dxa"/>
            <w:vAlign w:val="bottom"/>
          </w:tcPr>
          <w:p w14:paraId="14B2C45A" w14:textId="77777777" w:rsidR="00940D15" w:rsidRPr="005A6D84" w:rsidRDefault="00940D15" w:rsidP="00795601">
            <w:pPr>
              <w:rPr>
                <w:color w:val="000000"/>
                <w:lang w:eastAsia="es-MX"/>
              </w:rPr>
            </w:pPr>
            <w:r w:rsidRPr="005A6D84">
              <w:rPr>
                <w:color w:val="000000"/>
                <w:sz w:val="22"/>
                <w:szCs w:val="22"/>
                <w:lang w:eastAsia="es-MX"/>
              </w:rPr>
              <w:t>Want/able to grow food?</w:t>
            </w:r>
          </w:p>
        </w:tc>
        <w:tc>
          <w:tcPr>
            <w:tcW w:w="900" w:type="dxa"/>
            <w:vAlign w:val="bottom"/>
          </w:tcPr>
          <w:p w14:paraId="29236D50" w14:textId="77777777" w:rsidR="00940D15" w:rsidRPr="005A6D84" w:rsidRDefault="00940D15" w:rsidP="00795601">
            <w:pPr>
              <w:jc w:val="center"/>
              <w:rPr>
                <w:color w:val="000000"/>
                <w:lang w:eastAsia="es-MX"/>
              </w:rPr>
            </w:pPr>
            <w:r w:rsidRPr="005A6D84">
              <w:rPr>
                <w:color w:val="000000"/>
                <w:sz w:val="22"/>
                <w:szCs w:val="22"/>
                <w:lang w:eastAsia="es-MX"/>
              </w:rPr>
              <w:t>49%</w:t>
            </w:r>
          </w:p>
        </w:tc>
        <w:tc>
          <w:tcPr>
            <w:tcW w:w="900" w:type="dxa"/>
            <w:vAlign w:val="bottom"/>
          </w:tcPr>
          <w:p w14:paraId="4F256DE1" w14:textId="77777777" w:rsidR="00940D15" w:rsidRPr="005A6D84" w:rsidRDefault="00940D15" w:rsidP="00795601">
            <w:pPr>
              <w:jc w:val="center"/>
              <w:rPr>
                <w:color w:val="000000"/>
                <w:lang w:eastAsia="es-MX"/>
              </w:rPr>
            </w:pPr>
            <w:r w:rsidRPr="005A6D84">
              <w:rPr>
                <w:color w:val="000000"/>
                <w:sz w:val="22"/>
                <w:szCs w:val="22"/>
                <w:lang w:eastAsia="es-MX"/>
              </w:rPr>
              <w:t>51%</w:t>
            </w:r>
          </w:p>
        </w:tc>
        <w:tc>
          <w:tcPr>
            <w:tcW w:w="965" w:type="dxa"/>
            <w:vAlign w:val="bottom"/>
          </w:tcPr>
          <w:p w14:paraId="69F52614" w14:textId="77777777" w:rsidR="00940D15" w:rsidRPr="005A6D84" w:rsidRDefault="00940D15" w:rsidP="00795601">
            <w:pPr>
              <w:jc w:val="center"/>
              <w:rPr>
                <w:color w:val="000000"/>
                <w:lang w:eastAsia="es-MX"/>
              </w:rPr>
            </w:pPr>
            <w:r w:rsidRPr="005A6D84">
              <w:rPr>
                <w:color w:val="000000"/>
                <w:sz w:val="22"/>
                <w:szCs w:val="22"/>
                <w:lang w:eastAsia="es-MX"/>
              </w:rPr>
              <w:t>64%</w:t>
            </w:r>
          </w:p>
        </w:tc>
        <w:tc>
          <w:tcPr>
            <w:tcW w:w="1041" w:type="dxa"/>
            <w:vAlign w:val="bottom"/>
          </w:tcPr>
          <w:p w14:paraId="7CC2C932" w14:textId="77777777" w:rsidR="00940D15" w:rsidRPr="005A6D84" w:rsidRDefault="00940D15" w:rsidP="00795601">
            <w:pPr>
              <w:jc w:val="center"/>
              <w:rPr>
                <w:color w:val="000000"/>
                <w:lang w:eastAsia="es-MX"/>
              </w:rPr>
            </w:pPr>
            <w:r w:rsidRPr="005A6D84">
              <w:rPr>
                <w:color w:val="000000"/>
                <w:sz w:val="22"/>
                <w:szCs w:val="22"/>
                <w:lang w:eastAsia="es-MX"/>
              </w:rPr>
              <w:t>28%</w:t>
            </w:r>
          </w:p>
        </w:tc>
        <w:tc>
          <w:tcPr>
            <w:tcW w:w="1042" w:type="dxa"/>
            <w:vAlign w:val="bottom"/>
          </w:tcPr>
          <w:p w14:paraId="57AD6DA3" w14:textId="77777777" w:rsidR="00940D15" w:rsidRPr="005A6D84" w:rsidRDefault="00940D15" w:rsidP="00795601">
            <w:pPr>
              <w:jc w:val="center"/>
              <w:rPr>
                <w:color w:val="000000"/>
                <w:lang w:eastAsia="es-MX"/>
              </w:rPr>
            </w:pPr>
            <w:r w:rsidRPr="005A6D84">
              <w:rPr>
                <w:color w:val="000000"/>
                <w:sz w:val="22"/>
                <w:szCs w:val="22"/>
                <w:lang w:eastAsia="es-MX"/>
              </w:rPr>
              <w:t>38%</w:t>
            </w:r>
          </w:p>
        </w:tc>
        <w:tc>
          <w:tcPr>
            <w:tcW w:w="930" w:type="dxa"/>
            <w:gridSpan w:val="2"/>
            <w:vAlign w:val="bottom"/>
          </w:tcPr>
          <w:p w14:paraId="3353E467" w14:textId="77777777" w:rsidR="00940D15" w:rsidRPr="005A6D84" w:rsidRDefault="00940D15" w:rsidP="00795601">
            <w:pPr>
              <w:jc w:val="center"/>
              <w:rPr>
                <w:color w:val="000000"/>
                <w:lang w:eastAsia="es-MX"/>
              </w:rPr>
            </w:pPr>
            <w:r w:rsidRPr="005A6D84">
              <w:rPr>
                <w:color w:val="000000"/>
                <w:sz w:val="22"/>
                <w:szCs w:val="22"/>
                <w:lang w:eastAsia="es-MX"/>
              </w:rPr>
              <w:t>48%</w:t>
            </w:r>
          </w:p>
        </w:tc>
        <w:tc>
          <w:tcPr>
            <w:tcW w:w="1044" w:type="dxa"/>
            <w:vAlign w:val="bottom"/>
          </w:tcPr>
          <w:p w14:paraId="346E0342"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1225" w:type="dxa"/>
            <w:vAlign w:val="bottom"/>
          </w:tcPr>
          <w:p w14:paraId="7B7FCB85"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1041" w:type="dxa"/>
            <w:vAlign w:val="bottom"/>
          </w:tcPr>
          <w:p w14:paraId="70AFB7A2" w14:textId="77777777" w:rsidR="00940D15" w:rsidRPr="005A6D84" w:rsidRDefault="00940D15" w:rsidP="00795601">
            <w:pPr>
              <w:jc w:val="center"/>
              <w:rPr>
                <w:color w:val="000000"/>
                <w:lang w:eastAsia="es-MX"/>
              </w:rPr>
            </w:pPr>
            <w:r w:rsidRPr="005A6D84">
              <w:rPr>
                <w:color w:val="000000"/>
                <w:sz w:val="22"/>
                <w:szCs w:val="22"/>
                <w:lang w:eastAsia="es-MX"/>
              </w:rPr>
              <w:t>N/A</w:t>
            </w:r>
          </w:p>
        </w:tc>
        <w:tc>
          <w:tcPr>
            <w:tcW w:w="1042" w:type="dxa"/>
            <w:vAlign w:val="bottom"/>
          </w:tcPr>
          <w:p w14:paraId="2024A7AE" w14:textId="77777777" w:rsidR="00940D15" w:rsidRPr="005A6D84" w:rsidRDefault="00940D15" w:rsidP="00795601">
            <w:pPr>
              <w:jc w:val="center"/>
              <w:rPr>
                <w:color w:val="000000"/>
                <w:lang w:eastAsia="es-MX"/>
              </w:rPr>
            </w:pPr>
            <w:r w:rsidRPr="005A6D84">
              <w:rPr>
                <w:color w:val="000000"/>
                <w:sz w:val="22"/>
                <w:szCs w:val="22"/>
                <w:lang w:eastAsia="es-MX"/>
              </w:rPr>
              <w:t>55%</w:t>
            </w:r>
          </w:p>
        </w:tc>
        <w:tc>
          <w:tcPr>
            <w:tcW w:w="1041" w:type="dxa"/>
            <w:vAlign w:val="bottom"/>
          </w:tcPr>
          <w:p w14:paraId="3941925B" w14:textId="77777777" w:rsidR="00940D15" w:rsidRPr="005A6D84" w:rsidRDefault="00940D15" w:rsidP="00795601">
            <w:pPr>
              <w:jc w:val="center"/>
              <w:rPr>
                <w:color w:val="000000"/>
                <w:lang w:eastAsia="es-MX"/>
              </w:rPr>
            </w:pPr>
            <w:r w:rsidRPr="005A6D84">
              <w:rPr>
                <w:color w:val="000000"/>
                <w:sz w:val="22"/>
                <w:szCs w:val="22"/>
                <w:lang w:eastAsia="es-MX"/>
              </w:rPr>
              <w:t>50%</w:t>
            </w:r>
          </w:p>
        </w:tc>
        <w:tc>
          <w:tcPr>
            <w:tcW w:w="1042" w:type="dxa"/>
            <w:vAlign w:val="bottom"/>
          </w:tcPr>
          <w:p w14:paraId="2398863A" w14:textId="77777777" w:rsidR="00940D15" w:rsidRPr="005A6D84" w:rsidRDefault="00940D15" w:rsidP="00795601">
            <w:pPr>
              <w:jc w:val="center"/>
              <w:rPr>
                <w:color w:val="000000"/>
                <w:lang w:eastAsia="es-MX"/>
              </w:rPr>
            </w:pPr>
            <w:r w:rsidRPr="005A6D84">
              <w:rPr>
                <w:color w:val="000000"/>
                <w:sz w:val="22"/>
                <w:szCs w:val="22"/>
                <w:lang w:eastAsia="es-MX"/>
              </w:rPr>
              <w:t>37%</w:t>
            </w:r>
          </w:p>
        </w:tc>
        <w:tc>
          <w:tcPr>
            <w:tcW w:w="1142" w:type="dxa"/>
            <w:vAlign w:val="bottom"/>
          </w:tcPr>
          <w:p w14:paraId="2D621864" w14:textId="77777777" w:rsidR="00940D15" w:rsidRPr="005A6D84" w:rsidRDefault="00940D15" w:rsidP="00795601">
            <w:pPr>
              <w:jc w:val="center"/>
              <w:rPr>
                <w:color w:val="000000"/>
                <w:lang w:eastAsia="es-MX"/>
              </w:rPr>
            </w:pPr>
            <w:r w:rsidRPr="005A6D84">
              <w:rPr>
                <w:color w:val="000000"/>
                <w:sz w:val="22"/>
                <w:szCs w:val="22"/>
                <w:lang w:eastAsia="es-MX"/>
              </w:rPr>
              <w:t>-</w:t>
            </w:r>
          </w:p>
        </w:tc>
      </w:tr>
    </w:tbl>
    <w:p w14:paraId="0B6EBC45" w14:textId="77777777" w:rsidR="00940D15" w:rsidRDefault="00940D15" w:rsidP="00AC3C33">
      <w:pPr>
        <w:ind w:left="-720"/>
        <w:jc w:val="both"/>
        <w:rPr>
          <w:sz w:val="22"/>
          <w:szCs w:val="22"/>
        </w:rPr>
      </w:pPr>
      <w:r w:rsidRPr="00AC3C33">
        <w:rPr>
          <w:sz w:val="22"/>
          <w:szCs w:val="22"/>
        </w:rPr>
        <w:t>*salon/beautician, lawyer, laundry; N/A-Not documented</w:t>
      </w:r>
    </w:p>
    <w:p w14:paraId="32396827" w14:textId="77777777" w:rsidR="00940D15" w:rsidRDefault="00940D15" w:rsidP="00621D85">
      <w:pPr>
        <w:jc w:val="both"/>
        <w:rPr>
          <w:sz w:val="22"/>
          <w:szCs w:val="22"/>
        </w:rPr>
        <w:sectPr w:rsidR="00940D15" w:rsidSect="00795601">
          <w:pgSz w:w="15840" w:h="12240" w:orient="landscape"/>
          <w:pgMar w:top="1440" w:right="1440" w:bottom="1440" w:left="1440" w:header="720" w:footer="720" w:gutter="0"/>
          <w:cols w:space="720"/>
          <w:docGrid w:linePitch="360"/>
        </w:sectPr>
      </w:pPr>
    </w:p>
    <w:p w14:paraId="5F5D65C6" w14:textId="77777777" w:rsidR="00940D15" w:rsidRDefault="00940D15" w:rsidP="009D5F81">
      <w:pPr>
        <w:jc w:val="both"/>
        <w:rPr>
          <w:sz w:val="22"/>
          <w:szCs w:val="22"/>
        </w:rPr>
      </w:pPr>
      <w:r w:rsidRPr="00621D85">
        <w:rPr>
          <w:sz w:val="22"/>
          <w:szCs w:val="22"/>
        </w:rPr>
        <w:lastRenderedPageBreak/>
        <w:t>while all the areas had conven</w:t>
      </w:r>
      <w:r>
        <w:rPr>
          <w:sz w:val="22"/>
          <w:szCs w:val="22"/>
        </w:rPr>
        <w:t xml:space="preserve">ience stores or small markets. </w:t>
      </w:r>
      <w:r w:rsidRPr="00621D85">
        <w:rPr>
          <w:sz w:val="22"/>
          <w:szCs w:val="22"/>
        </w:rPr>
        <w:t>Farmer’s marke</w:t>
      </w:r>
      <w:r>
        <w:rPr>
          <w:sz w:val="22"/>
          <w:szCs w:val="22"/>
        </w:rPr>
        <w:t>ts were present in four areas.</w:t>
      </w:r>
    </w:p>
    <w:p w14:paraId="1D165352" w14:textId="77777777" w:rsidR="00940D15" w:rsidRPr="00621D85" w:rsidRDefault="00940D15" w:rsidP="009D5F81">
      <w:pPr>
        <w:jc w:val="both"/>
        <w:rPr>
          <w:sz w:val="22"/>
          <w:szCs w:val="22"/>
        </w:rPr>
      </w:pPr>
    </w:p>
    <w:p w14:paraId="7C8723F6" w14:textId="77777777" w:rsidR="00940D15" w:rsidRDefault="00940D15" w:rsidP="009D5F81">
      <w:pPr>
        <w:jc w:val="both"/>
        <w:rPr>
          <w:sz w:val="22"/>
          <w:szCs w:val="22"/>
        </w:rPr>
      </w:pPr>
      <w:r w:rsidRPr="00621D85">
        <w:rPr>
          <w:sz w:val="22"/>
          <w:szCs w:val="22"/>
        </w:rPr>
        <w:t>There was a high level of commonality across the neighborhoods in term</w:t>
      </w:r>
      <w:r>
        <w:rPr>
          <w:sz w:val="22"/>
          <w:szCs w:val="22"/>
        </w:rPr>
        <w:t>s</w:t>
      </w:r>
      <w:r w:rsidRPr="00621D85">
        <w:rPr>
          <w:sz w:val="22"/>
          <w:szCs w:val="22"/>
        </w:rPr>
        <w:t xml:space="preserve"> of </w:t>
      </w:r>
      <w:r>
        <w:rPr>
          <w:sz w:val="22"/>
          <w:szCs w:val="22"/>
        </w:rPr>
        <w:t xml:space="preserve">the </w:t>
      </w:r>
      <w:r w:rsidRPr="00621D85">
        <w:rPr>
          <w:sz w:val="22"/>
          <w:szCs w:val="22"/>
        </w:rPr>
        <w:t>concerns and priorities presented in Table 3. Ten of the twelve neighborhoods implemented a neighborhood survey and the questions varied slightly by neighborhood based on preference of</w:t>
      </w:r>
      <w:r>
        <w:rPr>
          <w:sz w:val="22"/>
          <w:szCs w:val="22"/>
        </w:rPr>
        <w:t xml:space="preserve"> the connector. </w:t>
      </w:r>
      <w:r w:rsidRPr="00621D85">
        <w:rPr>
          <w:sz w:val="22"/>
          <w:szCs w:val="22"/>
        </w:rPr>
        <w:t>Only two connectors chose to include soci</w:t>
      </w:r>
      <w:r>
        <w:rPr>
          <w:sz w:val="22"/>
          <w:szCs w:val="22"/>
        </w:rPr>
        <w:t>o-demographic questions. Low levels of noise</w:t>
      </w:r>
      <w:r w:rsidRPr="00621D85">
        <w:rPr>
          <w:sz w:val="22"/>
          <w:szCs w:val="22"/>
        </w:rPr>
        <w:t>,</w:t>
      </w:r>
      <w:r>
        <w:rPr>
          <w:sz w:val="22"/>
          <w:szCs w:val="22"/>
        </w:rPr>
        <w:t xml:space="preserve"> friendliness</w:t>
      </w:r>
      <w:r w:rsidRPr="00621D85">
        <w:rPr>
          <w:sz w:val="22"/>
          <w:szCs w:val="22"/>
        </w:rPr>
        <w:t xml:space="preserve"> and location were cited as the most valued aspects of neighborhoods.  Traffic was the most frequently cited concern reg</w:t>
      </w:r>
      <w:r>
        <w:rPr>
          <w:sz w:val="22"/>
          <w:szCs w:val="22"/>
        </w:rPr>
        <w:t>arding the outside environment.</w:t>
      </w:r>
      <w:r w:rsidRPr="00621D85">
        <w:rPr>
          <w:sz w:val="22"/>
          <w:szCs w:val="22"/>
        </w:rPr>
        <w:t xml:space="preserve"> Night lighting and walking paths were the most </w:t>
      </w:r>
      <w:r>
        <w:rPr>
          <w:sz w:val="22"/>
          <w:szCs w:val="22"/>
        </w:rPr>
        <w:t xml:space="preserve">commonly desired </w:t>
      </w:r>
      <w:r>
        <w:rPr>
          <w:sz w:val="22"/>
          <w:szCs w:val="22"/>
        </w:rPr>
        <w:lastRenderedPageBreak/>
        <w:t xml:space="preserve">improvements. </w:t>
      </w:r>
      <w:r w:rsidRPr="00621D85">
        <w:rPr>
          <w:sz w:val="22"/>
          <w:szCs w:val="22"/>
        </w:rPr>
        <w:t xml:space="preserve">In response to what would help people eat more healthily, eight of nine neighborhoods surveyed prioritized having healthier foods available in local stores. Community gardens, cooking or gardening classes and affordable food </w:t>
      </w:r>
      <w:r>
        <w:rPr>
          <w:sz w:val="22"/>
          <w:szCs w:val="22"/>
        </w:rPr>
        <w:t>were also frequently mentioned.</w:t>
      </w:r>
    </w:p>
    <w:p w14:paraId="677B96E4" w14:textId="77777777" w:rsidR="00940D15" w:rsidRPr="00621D85" w:rsidRDefault="00940D15" w:rsidP="002E461E">
      <w:pPr>
        <w:jc w:val="both"/>
        <w:rPr>
          <w:sz w:val="22"/>
          <w:szCs w:val="22"/>
        </w:rPr>
      </w:pPr>
    </w:p>
    <w:p w14:paraId="0B5892DB" w14:textId="77777777" w:rsidR="00940D15" w:rsidRPr="004A3363" w:rsidRDefault="00940D15" w:rsidP="002E461E">
      <w:pPr>
        <w:jc w:val="both"/>
        <w:rPr>
          <w:b/>
          <w:bCs/>
          <w:sz w:val="22"/>
          <w:szCs w:val="22"/>
        </w:rPr>
      </w:pPr>
      <w:r w:rsidRPr="004A3363">
        <w:rPr>
          <w:b/>
          <w:bCs/>
          <w:sz w:val="22"/>
          <w:szCs w:val="22"/>
        </w:rPr>
        <w:t>Recreational Facilities</w:t>
      </w:r>
    </w:p>
    <w:p w14:paraId="60068FDB" w14:textId="77777777" w:rsidR="00940D15" w:rsidRDefault="00940D15" w:rsidP="00621D85">
      <w:pPr>
        <w:jc w:val="both"/>
        <w:rPr>
          <w:sz w:val="22"/>
          <w:szCs w:val="22"/>
        </w:rPr>
        <w:sectPr w:rsidR="00940D15" w:rsidSect="00621D85">
          <w:type w:val="continuous"/>
          <w:pgSz w:w="12240" w:h="15840"/>
          <w:pgMar w:top="1440" w:right="1440" w:bottom="1440" w:left="1440" w:header="720" w:footer="720" w:gutter="0"/>
          <w:cols w:num="2" w:space="720"/>
          <w:docGrid w:linePitch="360"/>
        </w:sectPr>
      </w:pPr>
      <w:r w:rsidRPr="00621D85">
        <w:rPr>
          <w:sz w:val="22"/>
          <w:szCs w:val="22"/>
        </w:rPr>
        <w:t>Recreational sites were identified online</w:t>
      </w:r>
      <w:r>
        <w:rPr>
          <w:sz w:val="22"/>
          <w:szCs w:val="22"/>
        </w:rPr>
        <w:t>. H</w:t>
      </w:r>
      <w:r w:rsidRPr="00621D85">
        <w:rPr>
          <w:sz w:val="22"/>
          <w:szCs w:val="22"/>
        </w:rPr>
        <w:t>owever, observational data was critical in assessing aspects relevant to utilization, including litter, vandalism, animal refuse, evidence of alcohol/substance use or auditory annoyance. Figure 2 presents the results of the observational assessment of recreational facilities in a specific target area shown in a</w:t>
      </w:r>
      <w:r>
        <w:rPr>
          <w:sz w:val="22"/>
          <w:szCs w:val="22"/>
        </w:rPr>
        <w:br/>
      </w:r>
    </w:p>
    <w:p w14:paraId="76C9BC84" w14:textId="77777777" w:rsidR="00940D15" w:rsidRDefault="00940D15" w:rsidP="00621D85">
      <w:pPr>
        <w:jc w:val="both"/>
        <w:rPr>
          <w:sz w:val="22"/>
          <w:szCs w:val="22"/>
        </w:rPr>
      </w:pPr>
    </w:p>
    <w:p w14:paraId="34520CBD" w14:textId="77777777" w:rsidR="00940D15" w:rsidRDefault="00940D15" w:rsidP="00621D85">
      <w:pPr>
        <w:jc w:val="both"/>
        <w:rPr>
          <w:sz w:val="22"/>
          <w:szCs w:val="22"/>
        </w:rPr>
      </w:pPr>
    </w:p>
    <w:p w14:paraId="4ABF8102" w14:textId="77777777" w:rsidR="00940D15" w:rsidRDefault="00940D15" w:rsidP="00621D85">
      <w:pPr>
        <w:jc w:val="both"/>
        <w:rPr>
          <w:sz w:val="22"/>
          <w:szCs w:val="22"/>
        </w:rPr>
        <w:sectPr w:rsidR="00940D15" w:rsidSect="002E461E">
          <w:type w:val="continuous"/>
          <w:pgSz w:w="12240" w:h="15840"/>
          <w:pgMar w:top="1440" w:right="1440" w:bottom="1440" w:left="1440" w:header="720" w:footer="720" w:gutter="0"/>
          <w:cols w:space="720"/>
          <w:docGrid w:linePitch="360"/>
        </w:sectPr>
      </w:pPr>
    </w:p>
    <w:p w14:paraId="2FC4F51B" w14:textId="77777777" w:rsidR="00940D15" w:rsidRDefault="00940D15" w:rsidP="002E461E">
      <w:pPr>
        <w:jc w:val="center"/>
        <w:rPr>
          <w:b/>
          <w:bCs/>
          <w:sz w:val="22"/>
          <w:szCs w:val="22"/>
        </w:rPr>
      </w:pPr>
      <w:r w:rsidRPr="002E461E">
        <w:rPr>
          <w:b/>
          <w:bCs/>
          <w:sz w:val="22"/>
          <w:szCs w:val="22"/>
        </w:rPr>
        <w:lastRenderedPageBreak/>
        <w:t>Figure 2</w:t>
      </w:r>
    </w:p>
    <w:p w14:paraId="31FBDC4F" w14:textId="77777777" w:rsidR="00940D15" w:rsidRDefault="00940D15" w:rsidP="002E461E">
      <w:pPr>
        <w:jc w:val="center"/>
        <w:rPr>
          <w:b/>
          <w:bCs/>
          <w:sz w:val="22"/>
          <w:szCs w:val="22"/>
        </w:rPr>
      </w:pPr>
    </w:p>
    <w:p w14:paraId="263F91D3" w14:textId="77777777" w:rsidR="00940D15" w:rsidRPr="002E461E" w:rsidRDefault="00940D15" w:rsidP="002E461E">
      <w:pPr>
        <w:jc w:val="center"/>
        <w:rPr>
          <w:b/>
          <w:bCs/>
          <w:sz w:val="22"/>
          <w:szCs w:val="22"/>
        </w:rPr>
      </w:pPr>
      <w:r w:rsidRPr="002E461E">
        <w:rPr>
          <w:b/>
          <w:bCs/>
          <w:sz w:val="22"/>
          <w:szCs w:val="22"/>
        </w:rPr>
        <w:t>Sample Recreational Resources Profile Page</w:t>
      </w:r>
    </w:p>
    <w:p w14:paraId="6FCA1E4C" w14:textId="77777777" w:rsidR="00940D15" w:rsidRDefault="005A6D84" w:rsidP="002E461E">
      <w:pPr>
        <w:jc w:val="center"/>
        <w:rPr>
          <w:sz w:val="22"/>
          <w:szCs w:val="22"/>
        </w:rPr>
      </w:pPr>
      <w:r>
        <w:rPr>
          <w:noProof/>
          <w:sz w:val="22"/>
          <w:szCs w:val="22"/>
        </w:rPr>
        <w:drawing>
          <wp:inline distT="0" distB="0" distL="0" distR="0" wp14:anchorId="018F2D8F" wp14:editId="6CD38AE8">
            <wp:extent cx="5848350" cy="4467225"/>
            <wp:effectExtent l="1905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l="1044" t="1190" r="996" b="1994"/>
                    <a:stretch>
                      <a:fillRect/>
                    </a:stretch>
                  </pic:blipFill>
                  <pic:spPr bwMode="auto">
                    <a:xfrm>
                      <a:off x="0" y="0"/>
                      <a:ext cx="5848350" cy="4467225"/>
                    </a:xfrm>
                    <a:prstGeom prst="rect">
                      <a:avLst/>
                    </a:prstGeom>
                    <a:noFill/>
                    <a:ln w="9525">
                      <a:noFill/>
                      <a:miter lim="800000"/>
                      <a:headEnd/>
                      <a:tailEnd/>
                    </a:ln>
                  </pic:spPr>
                </pic:pic>
              </a:graphicData>
            </a:graphic>
          </wp:inline>
        </w:drawing>
      </w:r>
    </w:p>
    <w:p w14:paraId="37F930DD" w14:textId="77777777" w:rsidR="00940D15" w:rsidRDefault="00940D15" w:rsidP="00621D85">
      <w:pPr>
        <w:jc w:val="both"/>
        <w:rPr>
          <w:sz w:val="22"/>
          <w:szCs w:val="22"/>
        </w:rPr>
      </w:pPr>
    </w:p>
    <w:p w14:paraId="6DD44D72" w14:textId="77777777" w:rsidR="00940D15" w:rsidRDefault="00940D15" w:rsidP="00621D85">
      <w:pPr>
        <w:jc w:val="both"/>
        <w:rPr>
          <w:sz w:val="22"/>
          <w:szCs w:val="22"/>
        </w:rPr>
        <w:sectPr w:rsidR="00940D15" w:rsidSect="002E461E">
          <w:type w:val="continuous"/>
          <w:pgSz w:w="12240" w:h="15840"/>
          <w:pgMar w:top="1440" w:right="1440" w:bottom="1440" w:left="1440" w:header="720" w:footer="720" w:gutter="0"/>
          <w:cols w:space="720"/>
          <w:docGrid w:linePitch="360"/>
        </w:sectPr>
      </w:pPr>
    </w:p>
    <w:p w14:paraId="04AC1357" w14:textId="77777777" w:rsidR="00940D15" w:rsidRDefault="00940D15" w:rsidP="009D5F81">
      <w:pPr>
        <w:jc w:val="both"/>
        <w:rPr>
          <w:sz w:val="22"/>
          <w:szCs w:val="22"/>
        </w:rPr>
      </w:pPr>
      <w:r w:rsidRPr="00621D85">
        <w:rPr>
          <w:sz w:val="22"/>
          <w:szCs w:val="22"/>
        </w:rPr>
        <w:lastRenderedPageBreak/>
        <w:t xml:space="preserve">profile page. Most facilities had multiple types of spaces for sports, grassy fields or areas, play equipment, benches and trashcans, but few had publicly accessible restrooms. Overall, fewer than half of observed recreational facilities were open to the general public, and observation provided further clarification of structural deterrents </w:t>
      </w:r>
      <w:r>
        <w:rPr>
          <w:sz w:val="22"/>
          <w:szCs w:val="22"/>
        </w:rPr>
        <w:t>to</w:t>
      </w:r>
      <w:r w:rsidRPr="00621D85">
        <w:rPr>
          <w:sz w:val="22"/>
          <w:szCs w:val="22"/>
        </w:rPr>
        <w:t xml:space="preserve"> recreational facility use such as fences, locks and signage. Schools, parks, or churches identified online by evaluators often possessed signs limiting or prohibiting public use of facilities. Few sites had Spanish language signage. The community-wide effects of such obstacles were reflected in the ne</w:t>
      </w:r>
      <w:r>
        <w:rPr>
          <w:sz w:val="22"/>
          <w:szCs w:val="22"/>
        </w:rPr>
        <w:t>ighborhood connector interviews:</w:t>
      </w:r>
    </w:p>
    <w:p w14:paraId="586EAD12" w14:textId="77777777" w:rsidR="00940D15" w:rsidRDefault="00940D15" w:rsidP="009D5F81">
      <w:pPr>
        <w:jc w:val="both"/>
        <w:rPr>
          <w:sz w:val="22"/>
          <w:szCs w:val="22"/>
        </w:rPr>
      </w:pPr>
    </w:p>
    <w:p w14:paraId="28F27BC9" w14:textId="77777777" w:rsidR="00940D15" w:rsidRDefault="00940D15" w:rsidP="009D5F81">
      <w:pPr>
        <w:ind w:left="360"/>
        <w:jc w:val="both"/>
        <w:rPr>
          <w:sz w:val="22"/>
          <w:szCs w:val="22"/>
        </w:rPr>
      </w:pPr>
      <w:r>
        <w:rPr>
          <w:sz w:val="22"/>
          <w:szCs w:val="22"/>
        </w:rPr>
        <w:t>“</w:t>
      </w:r>
      <w:r w:rsidRPr="00621D85">
        <w:rPr>
          <w:sz w:val="22"/>
          <w:szCs w:val="22"/>
        </w:rPr>
        <w:t>We have mini parks, but mini – smaller than a classroom - and mini parks have gates and walls around them. When the parks were unveiled, they got heavily vandalized... So the City decided they needed to guard our parks, our property, so they put up walls and gates and locks.</w:t>
      </w:r>
      <w:r>
        <w:rPr>
          <w:sz w:val="22"/>
          <w:szCs w:val="22"/>
        </w:rPr>
        <w:t>”</w:t>
      </w:r>
    </w:p>
    <w:p w14:paraId="7983853D" w14:textId="77777777" w:rsidR="00940D15" w:rsidRDefault="00940D15" w:rsidP="009D5F81">
      <w:pPr>
        <w:ind w:left="360"/>
        <w:jc w:val="both"/>
        <w:rPr>
          <w:sz w:val="22"/>
          <w:szCs w:val="22"/>
        </w:rPr>
      </w:pPr>
    </w:p>
    <w:p w14:paraId="459B7058" w14:textId="77777777" w:rsidR="00940D15" w:rsidRDefault="00940D15" w:rsidP="00621D85">
      <w:pPr>
        <w:jc w:val="both"/>
        <w:rPr>
          <w:sz w:val="22"/>
          <w:szCs w:val="22"/>
        </w:rPr>
      </w:pPr>
      <w:r w:rsidRPr="00621D85">
        <w:rPr>
          <w:sz w:val="22"/>
          <w:szCs w:val="22"/>
        </w:rPr>
        <w:t>Survey results denoting community priorities reflected widespread value placed on community recreational facilities and amenities. Playgrounds and parks were among the most frequently prioritized neighborhood improvement</w:t>
      </w:r>
      <w:r>
        <w:rPr>
          <w:sz w:val="22"/>
          <w:szCs w:val="22"/>
        </w:rPr>
        <w:t xml:space="preserve"> options by survey respondents.</w:t>
      </w:r>
    </w:p>
    <w:p w14:paraId="7731AB1E" w14:textId="77777777" w:rsidR="00940D15" w:rsidRDefault="00940D15" w:rsidP="002E461E">
      <w:pPr>
        <w:jc w:val="both"/>
        <w:rPr>
          <w:sz w:val="22"/>
          <w:szCs w:val="22"/>
        </w:rPr>
      </w:pPr>
    </w:p>
    <w:p w14:paraId="477EA538" w14:textId="77777777" w:rsidR="00940D15" w:rsidRPr="004A3363" w:rsidRDefault="00940D15" w:rsidP="002E461E">
      <w:pPr>
        <w:jc w:val="both"/>
        <w:rPr>
          <w:b/>
          <w:bCs/>
          <w:sz w:val="22"/>
          <w:szCs w:val="22"/>
        </w:rPr>
      </w:pPr>
      <w:r w:rsidRPr="004A3363">
        <w:rPr>
          <w:b/>
          <w:bCs/>
          <w:sz w:val="22"/>
          <w:szCs w:val="22"/>
        </w:rPr>
        <w:t>Food Environment</w:t>
      </w:r>
    </w:p>
    <w:p w14:paraId="609530FB" w14:textId="77777777" w:rsidR="00940D15" w:rsidRDefault="00940D15" w:rsidP="00DE59DC">
      <w:pPr>
        <w:jc w:val="both"/>
        <w:rPr>
          <w:sz w:val="22"/>
          <w:szCs w:val="22"/>
        </w:rPr>
      </w:pPr>
      <w:r w:rsidRPr="00621D85">
        <w:rPr>
          <w:sz w:val="22"/>
          <w:szCs w:val="22"/>
        </w:rPr>
        <w:t>Integration of data sources allowed researchers and community members to more clearly perceive local food environments. While secondary and observational data confirmed the existence and quality of food sources, interviews and surveys affirmed whether the food environment was important to key informants and community members. Food availability varied across the target areas. Urban areas were more likely to have food, but lacked abundance and quality. In most areas, the majority of food vendors included fast food chains, taquerías and</w:t>
      </w:r>
      <w:r w:rsidRPr="002E461E">
        <w:rPr>
          <w:sz w:val="22"/>
          <w:szCs w:val="22"/>
        </w:rPr>
        <w:t xml:space="preserve"> </w:t>
      </w:r>
      <w:r w:rsidRPr="00621D85">
        <w:rPr>
          <w:sz w:val="22"/>
          <w:szCs w:val="22"/>
        </w:rPr>
        <w:t>gas station mini-markets. Other types included small stand-alone markets, chain local restaurants, large groceries and dollar stores. All areas included at least some type of locally owned establishment, presenting greater</w:t>
      </w:r>
      <w:r w:rsidRPr="002E461E">
        <w:rPr>
          <w:sz w:val="22"/>
          <w:szCs w:val="22"/>
        </w:rPr>
        <w:t xml:space="preserve"> </w:t>
      </w:r>
      <w:r w:rsidRPr="00621D85">
        <w:rPr>
          <w:sz w:val="22"/>
          <w:szCs w:val="22"/>
        </w:rPr>
        <w:t>opportunity for intervention. Photos were</w:t>
      </w:r>
      <w:r w:rsidRPr="002E461E">
        <w:rPr>
          <w:sz w:val="22"/>
          <w:szCs w:val="22"/>
        </w:rPr>
        <w:t xml:space="preserve"> </w:t>
      </w:r>
      <w:r w:rsidRPr="00621D85">
        <w:rPr>
          <w:sz w:val="22"/>
          <w:szCs w:val="22"/>
        </w:rPr>
        <w:t xml:space="preserve">an important method of providing visual insight </w:t>
      </w:r>
      <w:r w:rsidRPr="00621D85">
        <w:rPr>
          <w:sz w:val="22"/>
          <w:szCs w:val="22"/>
        </w:rPr>
        <w:lastRenderedPageBreak/>
        <w:t>into food availability and quality. Across the areas, the majority of grocery vendors stocked fruits and vegetables, almost half sold low fat</w:t>
      </w:r>
      <w:r w:rsidRPr="002E461E">
        <w:rPr>
          <w:sz w:val="22"/>
          <w:szCs w:val="22"/>
        </w:rPr>
        <w:t xml:space="preserve"> </w:t>
      </w:r>
      <w:r w:rsidRPr="00621D85">
        <w:rPr>
          <w:sz w:val="22"/>
          <w:szCs w:val="22"/>
        </w:rPr>
        <w:t>products and whole grains, and a minority offered low sugar products. However, these items were sp</w:t>
      </w:r>
      <w:r>
        <w:rPr>
          <w:sz w:val="22"/>
          <w:szCs w:val="22"/>
        </w:rPr>
        <w:t xml:space="preserve">arse and often lacked variety. </w:t>
      </w:r>
      <w:r w:rsidRPr="00621D85">
        <w:rPr>
          <w:sz w:val="22"/>
          <w:szCs w:val="22"/>
        </w:rPr>
        <w:t>In neighborhoods with several locally-owned and</w:t>
      </w:r>
      <w:r w:rsidRPr="00DE59DC">
        <w:rPr>
          <w:sz w:val="22"/>
          <w:szCs w:val="22"/>
        </w:rPr>
        <w:t xml:space="preserve"> </w:t>
      </w:r>
      <w:r w:rsidRPr="00621D85">
        <w:rPr>
          <w:sz w:val="22"/>
          <w:szCs w:val="22"/>
        </w:rPr>
        <w:t>operated vendors, such as carnicerías, common products included meat, cheese, tortillas and vegetables that might be used in salsas or as garnishes, such as tomatoes, limes and onions. Lemons and limes were often the only fruit available. Key informant interviews and neighborhood surveys indicated that lack of quality food is widespread issue throughout the areas of focus and is viewed as a leading barrier to heal</w:t>
      </w:r>
      <w:r>
        <w:rPr>
          <w:sz w:val="22"/>
          <w:szCs w:val="22"/>
        </w:rPr>
        <w:t>th. As one connector expressed:</w:t>
      </w:r>
    </w:p>
    <w:p w14:paraId="5684ECA4" w14:textId="77777777" w:rsidR="00940D15" w:rsidRPr="00621D85" w:rsidRDefault="00940D15" w:rsidP="00DE59DC">
      <w:pPr>
        <w:jc w:val="both"/>
        <w:rPr>
          <w:sz w:val="22"/>
          <w:szCs w:val="22"/>
        </w:rPr>
      </w:pPr>
    </w:p>
    <w:p w14:paraId="44773927" w14:textId="77777777" w:rsidR="00940D15" w:rsidRDefault="00940D15" w:rsidP="00DE59DC">
      <w:pPr>
        <w:ind w:left="360"/>
        <w:jc w:val="both"/>
        <w:rPr>
          <w:sz w:val="22"/>
          <w:szCs w:val="22"/>
        </w:rPr>
      </w:pPr>
      <w:r>
        <w:rPr>
          <w:sz w:val="22"/>
          <w:szCs w:val="22"/>
        </w:rPr>
        <w:t>“</w:t>
      </w:r>
      <w:r w:rsidRPr="00621D85">
        <w:rPr>
          <w:sz w:val="22"/>
          <w:szCs w:val="22"/>
        </w:rPr>
        <w:t>I just hate the AmPms and the Circle K. They surround our neighborhood, and I think there are maybe five things that are considered food in that store… they had milk and bananas, they were the only things I would even consider eating, and I thought, gosh this store is taking up so much room, so much concrete, yet they have nothing to offer peopl</w:t>
      </w:r>
      <w:r>
        <w:rPr>
          <w:sz w:val="22"/>
          <w:szCs w:val="22"/>
        </w:rPr>
        <w:t>e. Yet they’re busy constantly…”</w:t>
      </w:r>
    </w:p>
    <w:p w14:paraId="2CD86463" w14:textId="77777777" w:rsidR="00940D15" w:rsidRPr="00621D85" w:rsidRDefault="00940D15" w:rsidP="00DE59DC">
      <w:pPr>
        <w:jc w:val="both"/>
        <w:rPr>
          <w:sz w:val="22"/>
          <w:szCs w:val="22"/>
        </w:rPr>
      </w:pPr>
    </w:p>
    <w:p w14:paraId="048FEDEE" w14:textId="77777777" w:rsidR="00940D15" w:rsidRDefault="00940D15" w:rsidP="00DE59DC">
      <w:pPr>
        <w:jc w:val="both"/>
        <w:rPr>
          <w:b/>
          <w:bCs/>
          <w:sz w:val="22"/>
          <w:szCs w:val="22"/>
        </w:rPr>
      </w:pPr>
      <w:r w:rsidRPr="00621D85">
        <w:rPr>
          <w:sz w:val="22"/>
          <w:szCs w:val="22"/>
        </w:rPr>
        <w:t>Advertising for healthy foods was nearly</w:t>
      </w:r>
      <w:r w:rsidRPr="00DE59DC">
        <w:rPr>
          <w:sz w:val="22"/>
          <w:szCs w:val="22"/>
        </w:rPr>
        <w:t xml:space="preserve"> </w:t>
      </w:r>
      <w:r w:rsidRPr="00621D85">
        <w:rPr>
          <w:sz w:val="22"/>
          <w:szCs w:val="22"/>
        </w:rPr>
        <w:t>nonexistent, except for a few large-scale local grocers, while signage varied by location. In some instances, a store displayed WIC signage even though qualifying products (e.g., milk and bread) were expired or found amidst junk food or alcohol. Healt</w:t>
      </w:r>
      <w:r>
        <w:rPr>
          <w:sz w:val="22"/>
          <w:szCs w:val="22"/>
        </w:rPr>
        <w:t>hy products, if available, were</w:t>
      </w:r>
      <w:r w:rsidRPr="00DE59DC">
        <w:rPr>
          <w:sz w:val="22"/>
          <w:szCs w:val="22"/>
        </w:rPr>
        <w:t xml:space="preserve"> </w:t>
      </w:r>
      <w:r w:rsidRPr="00621D85">
        <w:rPr>
          <w:sz w:val="22"/>
          <w:szCs w:val="22"/>
        </w:rPr>
        <w:t>often placed out of eye level view. Few vendors offered discounts on healthy items, and healthy food items were rarely located near checkout. The majority of neighborhood focus areas lacked farmers’ markets or community gardens, though identification of these resources was limited due to the absen</w:t>
      </w:r>
      <w:r>
        <w:rPr>
          <w:sz w:val="22"/>
          <w:szCs w:val="22"/>
        </w:rPr>
        <w:t>ce of a comprehensive registry.</w:t>
      </w:r>
    </w:p>
    <w:p w14:paraId="20A76D46" w14:textId="77777777" w:rsidR="00940D15" w:rsidRDefault="00940D15" w:rsidP="00DE59DC">
      <w:pPr>
        <w:jc w:val="both"/>
        <w:rPr>
          <w:b/>
          <w:bCs/>
          <w:sz w:val="22"/>
          <w:szCs w:val="22"/>
        </w:rPr>
      </w:pPr>
    </w:p>
    <w:p w14:paraId="5217D78B" w14:textId="77777777" w:rsidR="00940D15" w:rsidRPr="004A3363" w:rsidRDefault="00940D15" w:rsidP="00DE59DC">
      <w:pPr>
        <w:jc w:val="both"/>
        <w:rPr>
          <w:b/>
          <w:bCs/>
          <w:sz w:val="22"/>
          <w:szCs w:val="22"/>
        </w:rPr>
      </w:pPr>
      <w:r w:rsidRPr="004A3363">
        <w:rPr>
          <w:b/>
          <w:bCs/>
          <w:sz w:val="22"/>
          <w:szCs w:val="22"/>
        </w:rPr>
        <w:t>Transportation</w:t>
      </w:r>
    </w:p>
    <w:p w14:paraId="77B4C36A" w14:textId="77777777" w:rsidR="00940D15" w:rsidRDefault="00940D15" w:rsidP="00DE59DC">
      <w:pPr>
        <w:jc w:val="both"/>
        <w:rPr>
          <w:b/>
          <w:bCs/>
          <w:sz w:val="22"/>
          <w:szCs w:val="22"/>
        </w:rPr>
        <w:sectPr w:rsidR="00940D15" w:rsidSect="00621D85">
          <w:type w:val="continuous"/>
          <w:pgSz w:w="12240" w:h="15840"/>
          <w:pgMar w:top="1440" w:right="1440" w:bottom="1440" w:left="1440" w:header="720" w:footer="720" w:gutter="0"/>
          <w:cols w:num="2" w:space="720"/>
          <w:docGrid w:linePitch="360"/>
        </w:sectPr>
      </w:pPr>
      <w:r w:rsidRPr="00621D85">
        <w:rPr>
          <w:sz w:val="22"/>
          <w:szCs w:val="22"/>
        </w:rPr>
        <w:t>Community transportation infrastructure was divided into public transportation and active transportation (biking and walking) for the purposes of the community profile document. In each case, firsthand observation added a layer of</w:t>
      </w:r>
      <w:r w:rsidRPr="00DE59DC">
        <w:rPr>
          <w:sz w:val="22"/>
          <w:szCs w:val="22"/>
        </w:rPr>
        <w:t xml:space="preserve"> </w:t>
      </w:r>
      <w:r w:rsidRPr="00621D85">
        <w:rPr>
          <w:sz w:val="22"/>
          <w:szCs w:val="22"/>
        </w:rPr>
        <w:t>detail unattainable via secondary data research.</w:t>
      </w:r>
    </w:p>
    <w:p w14:paraId="6CB9A421" w14:textId="77777777" w:rsidR="00940D15" w:rsidRDefault="00940D15" w:rsidP="00621D85">
      <w:pPr>
        <w:jc w:val="both"/>
        <w:rPr>
          <w:b/>
          <w:bCs/>
          <w:sz w:val="22"/>
          <w:szCs w:val="22"/>
        </w:rPr>
      </w:pPr>
    </w:p>
    <w:p w14:paraId="28DA721D" w14:textId="77777777" w:rsidR="00940D15" w:rsidRDefault="00940D15" w:rsidP="00621D85">
      <w:pPr>
        <w:jc w:val="both"/>
        <w:rPr>
          <w:b/>
          <w:bCs/>
          <w:sz w:val="22"/>
          <w:szCs w:val="22"/>
        </w:rPr>
        <w:sectPr w:rsidR="00940D15" w:rsidSect="00AC3C33">
          <w:type w:val="continuous"/>
          <w:pgSz w:w="12240" w:h="15840"/>
          <w:pgMar w:top="1440" w:right="1440" w:bottom="1440" w:left="1440" w:header="720" w:footer="720" w:gutter="0"/>
          <w:cols w:space="720"/>
          <w:docGrid w:linePitch="360"/>
        </w:sectPr>
      </w:pPr>
    </w:p>
    <w:p w14:paraId="5F587A35" w14:textId="77777777" w:rsidR="00940D15" w:rsidRDefault="00940D15" w:rsidP="002E461E">
      <w:pPr>
        <w:jc w:val="center"/>
        <w:rPr>
          <w:b/>
          <w:bCs/>
          <w:sz w:val="22"/>
          <w:szCs w:val="22"/>
        </w:rPr>
      </w:pPr>
      <w:r>
        <w:rPr>
          <w:b/>
          <w:bCs/>
          <w:sz w:val="22"/>
          <w:szCs w:val="22"/>
        </w:rPr>
        <w:lastRenderedPageBreak/>
        <w:t>Table 3</w:t>
      </w:r>
    </w:p>
    <w:p w14:paraId="60551B85" w14:textId="77777777" w:rsidR="00940D15" w:rsidRDefault="00940D15" w:rsidP="002E461E">
      <w:pPr>
        <w:jc w:val="center"/>
        <w:rPr>
          <w:b/>
          <w:bCs/>
          <w:sz w:val="22"/>
          <w:szCs w:val="22"/>
        </w:rPr>
      </w:pPr>
    </w:p>
    <w:p w14:paraId="3C0D961B" w14:textId="77777777" w:rsidR="00940D15" w:rsidRDefault="00940D15" w:rsidP="002E461E">
      <w:pPr>
        <w:jc w:val="center"/>
        <w:rPr>
          <w:b/>
          <w:bCs/>
          <w:sz w:val="22"/>
          <w:szCs w:val="22"/>
        </w:rPr>
      </w:pPr>
      <w:r>
        <w:rPr>
          <w:b/>
          <w:bCs/>
          <w:sz w:val="22"/>
          <w:szCs w:val="22"/>
        </w:rPr>
        <w:t>Neighborhood Priorities (Combined Results of Neighborhood Surveys) N=10</w:t>
      </w:r>
      <w:r w:rsidR="00DE7845">
        <w:rPr>
          <w:b/>
          <w:bCs/>
          <w:sz w:val="22"/>
          <w:szCs w:val="22"/>
        </w:rPr>
        <w:t xml:space="preserve"> Neighborhoods</w:t>
      </w:r>
    </w:p>
    <w:tbl>
      <w:tblPr>
        <w:tblW w:w="9241" w:type="dxa"/>
        <w:jc w:val="center"/>
        <w:tblBorders>
          <w:top w:val="single" w:sz="4" w:space="0" w:color="auto"/>
          <w:bottom w:val="single" w:sz="4" w:space="0" w:color="auto"/>
          <w:insideH w:val="single" w:sz="4" w:space="0" w:color="auto"/>
        </w:tblBorders>
        <w:tblLook w:val="00A0" w:firstRow="1" w:lastRow="0" w:firstColumn="1" w:lastColumn="0" w:noHBand="0" w:noVBand="0"/>
      </w:tblPr>
      <w:tblGrid>
        <w:gridCol w:w="4545"/>
        <w:gridCol w:w="3730"/>
        <w:gridCol w:w="966"/>
      </w:tblGrid>
      <w:tr w:rsidR="00940D15" w:rsidRPr="002E461E" w14:paraId="4ED1063C" w14:textId="77777777" w:rsidTr="005A6D84">
        <w:trPr>
          <w:trHeight w:val="415"/>
          <w:jc w:val="center"/>
        </w:trPr>
        <w:tc>
          <w:tcPr>
            <w:tcW w:w="4545" w:type="dxa"/>
            <w:vMerge w:val="restart"/>
            <w:tcBorders>
              <w:top w:val="single" w:sz="8" w:space="0" w:color="auto"/>
            </w:tcBorders>
          </w:tcPr>
          <w:p w14:paraId="70446D03" w14:textId="77777777" w:rsidR="00940D15" w:rsidRPr="004067DA" w:rsidRDefault="00940D15" w:rsidP="00762F99">
            <w:r w:rsidRPr="004067DA">
              <w:rPr>
                <w:sz w:val="22"/>
                <w:szCs w:val="22"/>
              </w:rPr>
              <w:t>What do you like most about your neighborhood? (Top 3)</w:t>
            </w:r>
          </w:p>
          <w:p w14:paraId="0C16F8D0" w14:textId="77777777" w:rsidR="00940D15" w:rsidRPr="004067DA" w:rsidRDefault="00940D15" w:rsidP="00762F99">
            <w:r w:rsidRPr="004067DA">
              <w:rPr>
                <w:sz w:val="22"/>
                <w:szCs w:val="22"/>
              </w:rPr>
              <w:t>n=8</w:t>
            </w:r>
          </w:p>
        </w:tc>
        <w:tc>
          <w:tcPr>
            <w:tcW w:w="3730" w:type="dxa"/>
            <w:tcBorders>
              <w:top w:val="single" w:sz="8" w:space="0" w:color="auto"/>
              <w:bottom w:val="nil"/>
            </w:tcBorders>
          </w:tcPr>
          <w:p w14:paraId="68540C9E" w14:textId="77777777" w:rsidR="00940D15" w:rsidRPr="004067DA" w:rsidRDefault="00940D15" w:rsidP="00762F99">
            <w:r w:rsidRPr="004067DA">
              <w:rPr>
                <w:sz w:val="22"/>
                <w:szCs w:val="22"/>
              </w:rPr>
              <w:t xml:space="preserve">Quiet </w:t>
            </w:r>
          </w:p>
        </w:tc>
        <w:tc>
          <w:tcPr>
            <w:tcW w:w="966" w:type="dxa"/>
            <w:tcBorders>
              <w:top w:val="single" w:sz="8" w:space="0" w:color="auto"/>
              <w:bottom w:val="nil"/>
            </w:tcBorders>
          </w:tcPr>
          <w:p w14:paraId="7B74E70E" w14:textId="77777777" w:rsidR="00940D15" w:rsidRPr="004067DA" w:rsidRDefault="00940D15" w:rsidP="004067DA">
            <w:pPr>
              <w:jc w:val="center"/>
            </w:pPr>
            <w:r w:rsidRPr="004067DA">
              <w:rPr>
                <w:sz w:val="22"/>
                <w:szCs w:val="22"/>
              </w:rPr>
              <w:t>63%</w:t>
            </w:r>
          </w:p>
        </w:tc>
      </w:tr>
      <w:tr w:rsidR="00940D15" w:rsidRPr="002E461E" w14:paraId="5F94C4E8" w14:textId="77777777" w:rsidTr="005A6D84">
        <w:trPr>
          <w:trHeight w:val="461"/>
          <w:jc w:val="center"/>
        </w:trPr>
        <w:tc>
          <w:tcPr>
            <w:tcW w:w="4545" w:type="dxa"/>
            <w:vMerge/>
          </w:tcPr>
          <w:p w14:paraId="43E91944" w14:textId="77777777" w:rsidR="00940D15" w:rsidRPr="004067DA" w:rsidRDefault="00940D15" w:rsidP="00762F99"/>
        </w:tc>
        <w:tc>
          <w:tcPr>
            <w:tcW w:w="3730" w:type="dxa"/>
            <w:tcBorders>
              <w:top w:val="nil"/>
              <w:bottom w:val="nil"/>
            </w:tcBorders>
          </w:tcPr>
          <w:p w14:paraId="607B2E00" w14:textId="77777777" w:rsidR="00940D15" w:rsidRPr="004067DA" w:rsidRDefault="00940D15" w:rsidP="00762F99">
            <w:r w:rsidRPr="004067DA">
              <w:rPr>
                <w:sz w:val="22"/>
                <w:szCs w:val="22"/>
              </w:rPr>
              <w:t xml:space="preserve">Friendly Neighbors </w:t>
            </w:r>
          </w:p>
        </w:tc>
        <w:tc>
          <w:tcPr>
            <w:tcW w:w="966" w:type="dxa"/>
            <w:tcBorders>
              <w:top w:val="nil"/>
              <w:bottom w:val="nil"/>
            </w:tcBorders>
          </w:tcPr>
          <w:p w14:paraId="70A0B035" w14:textId="77777777" w:rsidR="00940D15" w:rsidRPr="004067DA" w:rsidRDefault="00940D15" w:rsidP="004067DA">
            <w:pPr>
              <w:jc w:val="center"/>
            </w:pPr>
            <w:r w:rsidRPr="004067DA">
              <w:rPr>
                <w:sz w:val="22"/>
                <w:szCs w:val="22"/>
              </w:rPr>
              <w:t>63%</w:t>
            </w:r>
          </w:p>
        </w:tc>
      </w:tr>
      <w:tr w:rsidR="00940D15" w:rsidRPr="002E461E" w14:paraId="19EE8B0A" w14:textId="77777777" w:rsidTr="005A6D84">
        <w:trPr>
          <w:trHeight w:val="403"/>
          <w:jc w:val="center"/>
        </w:trPr>
        <w:tc>
          <w:tcPr>
            <w:tcW w:w="4545" w:type="dxa"/>
            <w:vMerge/>
          </w:tcPr>
          <w:p w14:paraId="6952E899" w14:textId="77777777" w:rsidR="00940D15" w:rsidRPr="004067DA" w:rsidRDefault="00940D15" w:rsidP="00762F99"/>
        </w:tc>
        <w:tc>
          <w:tcPr>
            <w:tcW w:w="3730" w:type="dxa"/>
            <w:tcBorders>
              <w:top w:val="nil"/>
            </w:tcBorders>
          </w:tcPr>
          <w:p w14:paraId="2CB21A23" w14:textId="77777777" w:rsidR="00940D15" w:rsidRPr="004067DA" w:rsidRDefault="00940D15" w:rsidP="00762F99">
            <w:r w:rsidRPr="004067DA">
              <w:rPr>
                <w:sz w:val="22"/>
                <w:szCs w:val="22"/>
              </w:rPr>
              <w:t xml:space="preserve">Location/Close to resources </w:t>
            </w:r>
          </w:p>
        </w:tc>
        <w:tc>
          <w:tcPr>
            <w:tcW w:w="966" w:type="dxa"/>
            <w:tcBorders>
              <w:top w:val="nil"/>
            </w:tcBorders>
          </w:tcPr>
          <w:p w14:paraId="47A1816A" w14:textId="77777777" w:rsidR="00940D15" w:rsidRPr="004067DA" w:rsidRDefault="00940D15" w:rsidP="004067DA">
            <w:pPr>
              <w:jc w:val="center"/>
            </w:pPr>
            <w:r w:rsidRPr="004067DA">
              <w:rPr>
                <w:sz w:val="22"/>
                <w:szCs w:val="22"/>
              </w:rPr>
              <w:t>38%</w:t>
            </w:r>
          </w:p>
        </w:tc>
      </w:tr>
      <w:tr w:rsidR="00940D15" w:rsidRPr="002E461E" w14:paraId="439C310D" w14:textId="77777777" w:rsidTr="005A6D84">
        <w:trPr>
          <w:trHeight w:val="415"/>
          <w:jc w:val="center"/>
        </w:trPr>
        <w:tc>
          <w:tcPr>
            <w:tcW w:w="4545" w:type="dxa"/>
            <w:vMerge w:val="restart"/>
          </w:tcPr>
          <w:p w14:paraId="6F58B5B4" w14:textId="77777777" w:rsidR="00940D15" w:rsidRPr="004067DA" w:rsidRDefault="00940D15" w:rsidP="00762F99">
            <w:r w:rsidRPr="004067DA">
              <w:rPr>
                <w:sz w:val="22"/>
                <w:szCs w:val="22"/>
              </w:rPr>
              <w:t>What is your greatest concern when you are OUTSIDE in your neighborhood?</w:t>
            </w:r>
          </w:p>
          <w:p w14:paraId="393FA7A3" w14:textId="77777777" w:rsidR="00940D15" w:rsidRPr="004067DA" w:rsidRDefault="00940D15" w:rsidP="00762F99">
            <w:r w:rsidRPr="004067DA">
              <w:rPr>
                <w:sz w:val="22"/>
                <w:szCs w:val="22"/>
              </w:rPr>
              <w:t>n=9</w:t>
            </w:r>
          </w:p>
        </w:tc>
        <w:tc>
          <w:tcPr>
            <w:tcW w:w="3730" w:type="dxa"/>
            <w:tcBorders>
              <w:bottom w:val="nil"/>
            </w:tcBorders>
          </w:tcPr>
          <w:p w14:paraId="5A0EEBC2" w14:textId="77777777" w:rsidR="00940D15" w:rsidRPr="004067DA" w:rsidRDefault="00940D15" w:rsidP="00762F99">
            <w:r w:rsidRPr="004067DA">
              <w:rPr>
                <w:sz w:val="22"/>
                <w:szCs w:val="22"/>
              </w:rPr>
              <w:t xml:space="preserve">Traffic </w:t>
            </w:r>
          </w:p>
        </w:tc>
        <w:tc>
          <w:tcPr>
            <w:tcW w:w="966" w:type="dxa"/>
            <w:tcBorders>
              <w:bottom w:val="nil"/>
            </w:tcBorders>
          </w:tcPr>
          <w:p w14:paraId="09775FA0" w14:textId="77777777" w:rsidR="00940D15" w:rsidRPr="004067DA" w:rsidRDefault="00940D15" w:rsidP="004067DA">
            <w:pPr>
              <w:jc w:val="center"/>
            </w:pPr>
            <w:r w:rsidRPr="004067DA">
              <w:rPr>
                <w:sz w:val="22"/>
                <w:szCs w:val="22"/>
              </w:rPr>
              <w:t>67%</w:t>
            </w:r>
          </w:p>
        </w:tc>
      </w:tr>
      <w:tr w:rsidR="00940D15" w:rsidRPr="002E461E" w14:paraId="226AFEA4" w14:textId="77777777" w:rsidTr="005A6D84">
        <w:trPr>
          <w:trHeight w:val="439"/>
          <w:jc w:val="center"/>
        </w:trPr>
        <w:tc>
          <w:tcPr>
            <w:tcW w:w="4545" w:type="dxa"/>
            <w:vMerge/>
          </w:tcPr>
          <w:p w14:paraId="5A1294D7" w14:textId="77777777" w:rsidR="00940D15" w:rsidRPr="004067DA" w:rsidRDefault="00940D15" w:rsidP="00762F99"/>
        </w:tc>
        <w:tc>
          <w:tcPr>
            <w:tcW w:w="3730" w:type="dxa"/>
            <w:tcBorders>
              <w:top w:val="nil"/>
              <w:bottom w:val="nil"/>
            </w:tcBorders>
          </w:tcPr>
          <w:p w14:paraId="15E4E322" w14:textId="77777777" w:rsidR="00940D15" w:rsidRPr="004067DA" w:rsidRDefault="00940D15" w:rsidP="00762F99">
            <w:r w:rsidRPr="004067DA">
              <w:rPr>
                <w:sz w:val="22"/>
                <w:szCs w:val="22"/>
              </w:rPr>
              <w:t>Garbage/Litter</w:t>
            </w:r>
          </w:p>
        </w:tc>
        <w:tc>
          <w:tcPr>
            <w:tcW w:w="966" w:type="dxa"/>
            <w:tcBorders>
              <w:top w:val="nil"/>
              <w:bottom w:val="nil"/>
            </w:tcBorders>
          </w:tcPr>
          <w:p w14:paraId="08EA5FD4" w14:textId="77777777" w:rsidR="00940D15" w:rsidRPr="004067DA" w:rsidRDefault="00940D15" w:rsidP="004067DA">
            <w:pPr>
              <w:jc w:val="center"/>
            </w:pPr>
            <w:r w:rsidRPr="004067DA">
              <w:rPr>
                <w:sz w:val="22"/>
                <w:szCs w:val="22"/>
              </w:rPr>
              <w:t>44%</w:t>
            </w:r>
          </w:p>
        </w:tc>
      </w:tr>
      <w:tr w:rsidR="00940D15" w:rsidRPr="002E461E" w14:paraId="5A0187EF" w14:textId="77777777" w:rsidTr="005A6D84">
        <w:trPr>
          <w:trHeight w:val="441"/>
          <w:jc w:val="center"/>
        </w:trPr>
        <w:tc>
          <w:tcPr>
            <w:tcW w:w="4545" w:type="dxa"/>
            <w:vMerge/>
          </w:tcPr>
          <w:p w14:paraId="7DB79D03" w14:textId="77777777" w:rsidR="00940D15" w:rsidRPr="004067DA" w:rsidRDefault="00940D15" w:rsidP="00762F99"/>
        </w:tc>
        <w:tc>
          <w:tcPr>
            <w:tcW w:w="3730" w:type="dxa"/>
            <w:tcBorders>
              <w:top w:val="nil"/>
              <w:bottom w:val="nil"/>
            </w:tcBorders>
          </w:tcPr>
          <w:p w14:paraId="080F6837" w14:textId="77777777" w:rsidR="00940D15" w:rsidRPr="004067DA" w:rsidRDefault="00940D15" w:rsidP="00762F99">
            <w:r w:rsidRPr="004067DA">
              <w:rPr>
                <w:sz w:val="22"/>
                <w:szCs w:val="22"/>
              </w:rPr>
              <w:t>No sidewalks</w:t>
            </w:r>
          </w:p>
        </w:tc>
        <w:tc>
          <w:tcPr>
            <w:tcW w:w="966" w:type="dxa"/>
            <w:tcBorders>
              <w:top w:val="nil"/>
              <w:bottom w:val="nil"/>
            </w:tcBorders>
          </w:tcPr>
          <w:p w14:paraId="521DBDA7" w14:textId="77777777" w:rsidR="00940D15" w:rsidRPr="004067DA" w:rsidRDefault="00940D15" w:rsidP="004067DA">
            <w:pPr>
              <w:jc w:val="center"/>
            </w:pPr>
            <w:r w:rsidRPr="004067DA">
              <w:rPr>
                <w:sz w:val="22"/>
                <w:szCs w:val="22"/>
              </w:rPr>
              <w:t>44%</w:t>
            </w:r>
          </w:p>
        </w:tc>
      </w:tr>
      <w:tr w:rsidR="00940D15" w:rsidRPr="002E461E" w14:paraId="4FF73515" w14:textId="77777777" w:rsidTr="005A6D84">
        <w:trPr>
          <w:trHeight w:val="464"/>
          <w:jc w:val="center"/>
        </w:trPr>
        <w:tc>
          <w:tcPr>
            <w:tcW w:w="4545" w:type="dxa"/>
            <w:vMerge/>
          </w:tcPr>
          <w:p w14:paraId="07C8B49E" w14:textId="77777777" w:rsidR="00940D15" w:rsidRPr="004067DA" w:rsidRDefault="00940D15" w:rsidP="00762F99"/>
        </w:tc>
        <w:tc>
          <w:tcPr>
            <w:tcW w:w="3730" w:type="dxa"/>
            <w:tcBorders>
              <w:top w:val="nil"/>
              <w:bottom w:val="single" w:sz="4" w:space="0" w:color="auto"/>
            </w:tcBorders>
          </w:tcPr>
          <w:p w14:paraId="39C5CE3E" w14:textId="77777777" w:rsidR="00940D15" w:rsidRPr="004067DA" w:rsidRDefault="00940D15" w:rsidP="00762F99">
            <w:r w:rsidRPr="004067DA">
              <w:rPr>
                <w:sz w:val="22"/>
                <w:szCs w:val="22"/>
              </w:rPr>
              <w:t xml:space="preserve">Stray dogs </w:t>
            </w:r>
          </w:p>
        </w:tc>
        <w:tc>
          <w:tcPr>
            <w:tcW w:w="966" w:type="dxa"/>
            <w:tcBorders>
              <w:top w:val="nil"/>
              <w:bottom w:val="single" w:sz="4" w:space="0" w:color="auto"/>
            </w:tcBorders>
          </w:tcPr>
          <w:p w14:paraId="7485E6E1" w14:textId="77777777" w:rsidR="00940D15" w:rsidRPr="004067DA" w:rsidRDefault="00940D15" w:rsidP="004067DA">
            <w:pPr>
              <w:jc w:val="center"/>
            </w:pPr>
            <w:r w:rsidRPr="004067DA">
              <w:rPr>
                <w:sz w:val="22"/>
                <w:szCs w:val="22"/>
              </w:rPr>
              <w:t>44%</w:t>
            </w:r>
          </w:p>
        </w:tc>
      </w:tr>
      <w:tr w:rsidR="00940D15" w:rsidRPr="002E461E" w14:paraId="22D391E9" w14:textId="77777777" w:rsidTr="005A6D84">
        <w:trPr>
          <w:trHeight w:val="439"/>
          <w:jc w:val="center"/>
        </w:trPr>
        <w:tc>
          <w:tcPr>
            <w:tcW w:w="4545" w:type="dxa"/>
            <w:vMerge w:val="restart"/>
          </w:tcPr>
          <w:p w14:paraId="59BC3D78" w14:textId="77777777" w:rsidR="00940D15" w:rsidRPr="004067DA" w:rsidRDefault="00940D15" w:rsidP="00762F99">
            <w:r w:rsidRPr="004067DA">
              <w:rPr>
                <w:sz w:val="22"/>
                <w:szCs w:val="22"/>
              </w:rPr>
              <w:t xml:space="preserve">What improvements would you like to see in your neighborhood?  </w:t>
            </w:r>
          </w:p>
          <w:p w14:paraId="258F1271" w14:textId="77777777" w:rsidR="00940D15" w:rsidRPr="004067DA" w:rsidRDefault="00940D15" w:rsidP="00762F99">
            <w:r w:rsidRPr="004067DA">
              <w:rPr>
                <w:sz w:val="22"/>
                <w:szCs w:val="22"/>
              </w:rPr>
              <w:t>n=10</w:t>
            </w:r>
          </w:p>
        </w:tc>
        <w:tc>
          <w:tcPr>
            <w:tcW w:w="3730" w:type="dxa"/>
            <w:tcBorders>
              <w:top w:val="single" w:sz="4" w:space="0" w:color="auto"/>
              <w:bottom w:val="nil"/>
            </w:tcBorders>
          </w:tcPr>
          <w:p w14:paraId="7CC33776" w14:textId="77777777" w:rsidR="00940D15" w:rsidRPr="004067DA" w:rsidRDefault="00940D15" w:rsidP="00762F99">
            <w:r w:rsidRPr="004067DA">
              <w:rPr>
                <w:sz w:val="22"/>
                <w:szCs w:val="22"/>
              </w:rPr>
              <w:t>Night lighting</w:t>
            </w:r>
          </w:p>
        </w:tc>
        <w:tc>
          <w:tcPr>
            <w:tcW w:w="966" w:type="dxa"/>
            <w:tcBorders>
              <w:top w:val="single" w:sz="4" w:space="0" w:color="auto"/>
              <w:bottom w:val="nil"/>
            </w:tcBorders>
          </w:tcPr>
          <w:p w14:paraId="6833B5D5" w14:textId="77777777" w:rsidR="00940D15" w:rsidRPr="004067DA" w:rsidRDefault="00940D15" w:rsidP="004067DA">
            <w:pPr>
              <w:jc w:val="center"/>
            </w:pPr>
            <w:r w:rsidRPr="004067DA">
              <w:rPr>
                <w:sz w:val="22"/>
                <w:szCs w:val="22"/>
              </w:rPr>
              <w:t>90%</w:t>
            </w:r>
          </w:p>
        </w:tc>
      </w:tr>
      <w:tr w:rsidR="00940D15" w:rsidRPr="002E461E" w14:paraId="5708A7FB" w14:textId="77777777" w:rsidTr="005A6D84">
        <w:trPr>
          <w:trHeight w:val="441"/>
          <w:jc w:val="center"/>
        </w:trPr>
        <w:tc>
          <w:tcPr>
            <w:tcW w:w="4545" w:type="dxa"/>
            <w:vMerge/>
          </w:tcPr>
          <w:p w14:paraId="29914FD8" w14:textId="77777777" w:rsidR="00940D15" w:rsidRPr="004067DA" w:rsidRDefault="00940D15" w:rsidP="00762F99"/>
        </w:tc>
        <w:tc>
          <w:tcPr>
            <w:tcW w:w="3730" w:type="dxa"/>
            <w:tcBorders>
              <w:top w:val="nil"/>
              <w:bottom w:val="nil"/>
            </w:tcBorders>
          </w:tcPr>
          <w:p w14:paraId="46B0CDC9" w14:textId="77777777" w:rsidR="00940D15" w:rsidRPr="004067DA" w:rsidRDefault="00940D15" w:rsidP="00762F99">
            <w:r w:rsidRPr="004067DA">
              <w:rPr>
                <w:sz w:val="22"/>
                <w:szCs w:val="22"/>
              </w:rPr>
              <w:t>Walking paths</w:t>
            </w:r>
          </w:p>
        </w:tc>
        <w:tc>
          <w:tcPr>
            <w:tcW w:w="966" w:type="dxa"/>
            <w:tcBorders>
              <w:top w:val="nil"/>
              <w:bottom w:val="nil"/>
            </w:tcBorders>
          </w:tcPr>
          <w:p w14:paraId="07D37A54" w14:textId="77777777" w:rsidR="00940D15" w:rsidRPr="004067DA" w:rsidRDefault="00940D15" w:rsidP="004067DA">
            <w:pPr>
              <w:jc w:val="center"/>
            </w:pPr>
            <w:r w:rsidRPr="004067DA">
              <w:rPr>
                <w:sz w:val="22"/>
                <w:szCs w:val="22"/>
              </w:rPr>
              <w:t>70%</w:t>
            </w:r>
          </w:p>
        </w:tc>
      </w:tr>
      <w:tr w:rsidR="00940D15" w:rsidRPr="002E461E" w14:paraId="18658D1C" w14:textId="77777777" w:rsidTr="005A6D84">
        <w:trPr>
          <w:trHeight w:val="461"/>
          <w:jc w:val="center"/>
        </w:trPr>
        <w:tc>
          <w:tcPr>
            <w:tcW w:w="4545" w:type="dxa"/>
            <w:vMerge/>
          </w:tcPr>
          <w:p w14:paraId="02211C42" w14:textId="77777777" w:rsidR="00940D15" w:rsidRPr="004067DA" w:rsidRDefault="00940D15" w:rsidP="00762F99"/>
        </w:tc>
        <w:tc>
          <w:tcPr>
            <w:tcW w:w="3730" w:type="dxa"/>
            <w:tcBorders>
              <w:top w:val="nil"/>
              <w:bottom w:val="nil"/>
            </w:tcBorders>
          </w:tcPr>
          <w:p w14:paraId="4B45BBCF" w14:textId="77777777" w:rsidR="00940D15" w:rsidRPr="004067DA" w:rsidRDefault="00940D15" w:rsidP="00762F99">
            <w:r w:rsidRPr="004067DA">
              <w:rPr>
                <w:sz w:val="22"/>
                <w:szCs w:val="22"/>
              </w:rPr>
              <w:t>Park/playground</w:t>
            </w:r>
          </w:p>
        </w:tc>
        <w:tc>
          <w:tcPr>
            <w:tcW w:w="966" w:type="dxa"/>
            <w:tcBorders>
              <w:top w:val="nil"/>
              <w:bottom w:val="nil"/>
            </w:tcBorders>
          </w:tcPr>
          <w:p w14:paraId="4D42D801" w14:textId="77777777" w:rsidR="00940D15" w:rsidRPr="004067DA" w:rsidRDefault="00940D15" w:rsidP="004067DA">
            <w:pPr>
              <w:jc w:val="center"/>
            </w:pPr>
            <w:r w:rsidRPr="004067DA">
              <w:rPr>
                <w:sz w:val="22"/>
                <w:szCs w:val="22"/>
              </w:rPr>
              <w:t>30%</w:t>
            </w:r>
          </w:p>
        </w:tc>
      </w:tr>
      <w:tr w:rsidR="00940D15" w:rsidRPr="002E461E" w14:paraId="1853151A" w14:textId="77777777" w:rsidTr="005A6D84">
        <w:trPr>
          <w:trHeight w:val="398"/>
          <w:jc w:val="center"/>
        </w:trPr>
        <w:tc>
          <w:tcPr>
            <w:tcW w:w="4545" w:type="dxa"/>
            <w:vMerge/>
          </w:tcPr>
          <w:p w14:paraId="0AE3307C" w14:textId="77777777" w:rsidR="00940D15" w:rsidRPr="004067DA" w:rsidRDefault="00940D15" w:rsidP="00762F99"/>
        </w:tc>
        <w:tc>
          <w:tcPr>
            <w:tcW w:w="3730" w:type="dxa"/>
            <w:tcBorders>
              <w:top w:val="nil"/>
              <w:bottom w:val="nil"/>
            </w:tcBorders>
          </w:tcPr>
          <w:p w14:paraId="48C7B932" w14:textId="77777777" w:rsidR="00940D15" w:rsidRPr="004067DA" w:rsidRDefault="00940D15" w:rsidP="00762F99">
            <w:r w:rsidRPr="004067DA">
              <w:rPr>
                <w:sz w:val="22"/>
                <w:szCs w:val="22"/>
              </w:rPr>
              <w:t>More trees</w:t>
            </w:r>
          </w:p>
        </w:tc>
        <w:tc>
          <w:tcPr>
            <w:tcW w:w="966" w:type="dxa"/>
            <w:tcBorders>
              <w:top w:val="nil"/>
              <w:bottom w:val="nil"/>
            </w:tcBorders>
          </w:tcPr>
          <w:p w14:paraId="31189D30" w14:textId="77777777" w:rsidR="00940D15" w:rsidRPr="004067DA" w:rsidRDefault="00940D15" w:rsidP="004067DA">
            <w:pPr>
              <w:jc w:val="center"/>
            </w:pPr>
            <w:r w:rsidRPr="004067DA">
              <w:rPr>
                <w:sz w:val="22"/>
                <w:szCs w:val="22"/>
              </w:rPr>
              <w:t>30%</w:t>
            </w:r>
          </w:p>
        </w:tc>
      </w:tr>
      <w:tr w:rsidR="00940D15" w:rsidRPr="002E461E" w14:paraId="0699AEBA" w14:textId="77777777" w:rsidTr="005A6D84">
        <w:trPr>
          <w:trHeight w:val="441"/>
          <w:jc w:val="center"/>
        </w:trPr>
        <w:tc>
          <w:tcPr>
            <w:tcW w:w="4545" w:type="dxa"/>
            <w:vMerge/>
          </w:tcPr>
          <w:p w14:paraId="465D580B" w14:textId="77777777" w:rsidR="00940D15" w:rsidRPr="004067DA" w:rsidRDefault="00940D15" w:rsidP="00762F99"/>
        </w:tc>
        <w:tc>
          <w:tcPr>
            <w:tcW w:w="3730" w:type="dxa"/>
            <w:tcBorders>
              <w:top w:val="nil"/>
            </w:tcBorders>
          </w:tcPr>
          <w:p w14:paraId="0607706C" w14:textId="77777777" w:rsidR="00940D15" w:rsidRPr="004067DA" w:rsidRDefault="00940D15" w:rsidP="00762F99">
            <w:r w:rsidRPr="004067DA">
              <w:rPr>
                <w:sz w:val="22"/>
                <w:szCs w:val="22"/>
              </w:rPr>
              <w:t>Neighborhood projects/events</w:t>
            </w:r>
          </w:p>
        </w:tc>
        <w:tc>
          <w:tcPr>
            <w:tcW w:w="966" w:type="dxa"/>
            <w:tcBorders>
              <w:top w:val="nil"/>
            </w:tcBorders>
          </w:tcPr>
          <w:p w14:paraId="66708B37" w14:textId="77777777" w:rsidR="00940D15" w:rsidRPr="004067DA" w:rsidRDefault="00940D15" w:rsidP="004067DA">
            <w:pPr>
              <w:jc w:val="center"/>
            </w:pPr>
            <w:r w:rsidRPr="004067DA">
              <w:rPr>
                <w:sz w:val="22"/>
                <w:szCs w:val="22"/>
              </w:rPr>
              <w:t>30%</w:t>
            </w:r>
          </w:p>
        </w:tc>
      </w:tr>
      <w:tr w:rsidR="00940D15" w:rsidRPr="002E461E" w14:paraId="507B0C71" w14:textId="77777777" w:rsidTr="005A6D84">
        <w:trPr>
          <w:trHeight w:val="441"/>
          <w:jc w:val="center"/>
        </w:trPr>
        <w:tc>
          <w:tcPr>
            <w:tcW w:w="4545" w:type="dxa"/>
            <w:vMerge w:val="restart"/>
          </w:tcPr>
          <w:p w14:paraId="50D0BEB5" w14:textId="77777777" w:rsidR="00940D15" w:rsidRPr="004067DA" w:rsidRDefault="00940D15" w:rsidP="00762F99">
            <w:r w:rsidRPr="004067DA">
              <w:rPr>
                <w:sz w:val="22"/>
                <w:szCs w:val="22"/>
              </w:rPr>
              <w:t xml:space="preserve">What do you think would help people (to get the food they need) to eat more healthily? </w:t>
            </w:r>
          </w:p>
          <w:p w14:paraId="7330F4E0" w14:textId="77777777" w:rsidR="00940D15" w:rsidRPr="004067DA" w:rsidRDefault="00940D15" w:rsidP="00762F99">
            <w:r w:rsidRPr="004067DA">
              <w:rPr>
                <w:sz w:val="22"/>
                <w:szCs w:val="22"/>
              </w:rPr>
              <w:t>n=9</w:t>
            </w:r>
          </w:p>
        </w:tc>
        <w:tc>
          <w:tcPr>
            <w:tcW w:w="3730" w:type="dxa"/>
            <w:tcBorders>
              <w:bottom w:val="nil"/>
            </w:tcBorders>
          </w:tcPr>
          <w:p w14:paraId="382F2E63" w14:textId="77777777" w:rsidR="00940D15" w:rsidRPr="004067DA" w:rsidRDefault="00940D15" w:rsidP="00762F99">
            <w:pPr>
              <w:rPr>
                <w:b/>
                <w:bCs/>
              </w:rPr>
            </w:pPr>
            <w:r w:rsidRPr="004067DA">
              <w:rPr>
                <w:sz w:val="22"/>
                <w:szCs w:val="22"/>
              </w:rPr>
              <w:t>Healthier foods in local store</w:t>
            </w:r>
          </w:p>
        </w:tc>
        <w:tc>
          <w:tcPr>
            <w:tcW w:w="966" w:type="dxa"/>
            <w:tcBorders>
              <w:bottom w:val="nil"/>
            </w:tcBorders>
          </w:tcPr>
          <w:p w14:paraId="05134CEE" w14:textId="77777777" w:rsidR="00940D15" w:rsidRPr="004067DA" w:rsidRDefault="00940D15" w:rsidP="004067DA">
            <w:pPr>
              <w:jc w:val="center"/>
            </w:pPr>
            <w:r w:rsidRPr="004067DA">
              <w:rPr>
                <w:sz w:val="22"/>
                <w:szCs w:val="22"/>
              </w:rPr>
              <w:t>89%</w:t>
            </w:r>
          </w:p>
        </w:tc>
      </w:tr>
      <w:tr w:rsidR="00940D15" w:rsidRPr="002E461E" w14:paraId="6A79B7C6" w14:textId="77777777" w:rsidTr="005A6D84">
        <w:trPr>
          <w:trHeight w:val="379"/>
          <w:jc w:val="center"/>
        </w:trPr>
        <w:tc>
          <w:tcPr>
            <w:tcW w:w="4545" w:type="dxa"/>
            <w:vMerge/>
          </w:tcPr>
          <w:p w14:paraId="1B993DEB" w14:textId="77777777" w:rsidR="00940D15" w:rsidRPr="004067DA" w:rsidRDefault="00940D15" w:rsidP="00762F99"/>
        </w:tc>
        <w:tc>
          <w:tcPr>
            <w:tcW w:w="3730" w:type="dxa"/>
            <w:tcBorders>
              <w:top w:val="nil"/>
              <w:bottom w:val="nil"/>
            </w:tcBorders>
          </w:tcPr>
          <w:p w14:paraId="60E9254E" w14:textId="77777777" w:rsidR="00940D15" w:rsidRPr="004067DA" w:rsidRDefault="00940D15" w:rsidP="00762F99">
            <w:r w:rsidRPr="004067DA">
              <w:rPr>
                <w:sz w:val="22"/>
                <w:szCs w:val="22"/>
              </w:rPr>
              <w:t>Community gardens</w:t>
            </w:r>
          </w:p>
        </w:tc>
        <w:tc>
          <w:tcPr>
            <w:tcW w:w="966" w:type="dxa"/>
            <w:tcBorders>
              <w:top w:val="nil"/>
              <w:bottom w:val="nil"/>
            </w:tcBorders>
          </w:tcPr>
          <w:p w14:paraId="6B48FF5E" w14:textId="77777777" w:rsidR="00940D15" w:rsidRPr="004067DA" w:rsidRDefault="00940D15" w:rsidP="004067DA">
            <w:pPr>
              <w:jc w:val="center"/>
            </w:pPr>
            <w:r w:rsidRPr="004067DA">
              <w:rPr>
                <w:sz w:val="22"/>
                <w:szCs w:val="22"/>
              </w:rPr>
              <w:t>78%</w:t>
            </w:r>
          </w:p>
        </w:tc>
      </w:tr>
      <w:tr w:rsidR="00940D15" w:rsidRPr="002E461E" w14:paraId="4AEECCD5" w14:textId="77777777" w:rsidTr="005A6D84">
        <w:trPr>
          <w:trHeight w:val="500"/>
          <w:jc w:val="center"/>
        </w:trPr>
        <w:tc>
          <w:tcPr>
            <w:tcW w:w="4545" w:type="dxa"/>
            <w:vMerge/>
          </w:tcPr>
          <w:p w14:paraId="5A8C263B" w14:textId="77777777" w:rsidR="00940D15" w:rsidRPr="004067DA" w:rsidRDefault="00940D15" w:rsidP="00762F99"/>
        </w:tc>
        <w:tc>
          <w:tcPr>
            <w:tcW w:w="3730" w:type="dxa"/>
            <w:tcBorders>
              <w:top w:val="nil"/>
              <w:bottom w:val="nil"/>
            </w:tcBorders>
          </w:tcPr>
          <w:p w14:paraId="4DA39693" w14:textId="77777777" w:rsidR="00940D15" w:rsidRPr="004067DA" w:rsidRDefault="00940D15" w:rsidP="00762F99">
            <w:r w:rsidRPr="004067DA">
              <w:rPr>
                <w:sz w:val="22"/>
                <w:szCs w:val="22"/>
              </w:rPr>
              <w:t>Cooking/gardening classes</w:t>
            </w:r>
          </w:p>
        </w:tc>
        <w:tc>
          <w:tcPr>
            <w:tcW w:w="966" w:type="dxa"/>
            <w:tcBorders>
              <w:top w:val="nil"/>
              <w:bottom w:val="nil"/>
            </w:tcBorders>
          </w:tcPr>
          <w:p w14:paraId="17D469E2" w14:textId="77777777" w:rsidR="00940D15" w:rsidRPr="004067DA" w:rsidRDefault="00940D15" w:rsidP="004067DA">
            <w:pPr>
              <w:jc w:val="center"/>
            </w:pPr>
            <w:r w:rsidRPr="004067DA">
              <w:rPr>
                <w:sz w:val="22"/>
                <w:szCs w:val="22"/>
              </w:rPr>
              <w:t>44%</w:t>
            </w:r>
          </w:p>
        </w:tc>
      </w:tr>
      <w:tr w:rsidR="00940D15" w:rsidRPr="002E461E" w14:paraId="05C6C632" w14:textId="77777777" w:rsidTr="005A6D84">
        <w:trPr>
          <w:trHeight w:val="503"/>
          <w:jc w:val="center"/>
        </w:trPr>
        <w:tc>
          <w:tcPr>
            <w:tcW w:w="4545" w:type="dxa"/>
            <w:vMerge/>
            <w:tcBorders>
              <w:bottom w:val="single" w:sz="8" w:space="0" w:color="auto"/>
            </w:tcBorders>
          </w:tcPr>
          <w:p w14:paraId="4634D707" w14:textId="77777777" w:rsidR="00940D15" w:rsidRPr="004067DA" w:rsidRDefault="00940D15" w:rsidP="00762F99"/>
        </w:tc>
        <w:tc>
          <w:tcPr>
            <w:tcW w:w="3730" w:type="dxa"/>
            <w:tcBorders>
              <w:top w:val="nil"/>
              <w:bottom w:val="single" w:sz="8" w:space="0" w:color="auto"/>
            </w:tcBorders>
          </w:tcPr>
          <w:p w14:paraId="742A049A" w14:textId="77777777" w:rsidR="00940D15" w:rsidRPr="004067DA" w:rsidRDefault="00940D15" w:rsidP="00762F99">
            <w:r w:rsidRPr="004067DA">
              <w:rPr>
                <w:sz w:val="22"/>
                <w:szCs w:val="22"/>
              </w:rPr>
              <w:t>Affordable food</w:t>
            </w:r>
          </w:p>
        </w:tc>
        <w:tc>
          <w:tcPr>
            <w:tcW w:w="966" w:type="dxa"/>
            <w:tcBorders>
              <w:top w:val="nil"/>
              <w:bottom w:val="single" w:sz="8" w:space="0" w:color="auto"/>
            </w:tcBorders>
          </w:tcPr>
          <w:p w14:paraId="0AFF78B7" w14:textId="77777777" w:rsidR="00940D15" w:rsidRPr="004067DA" w:rsidRDefault="00940D15" w:rsidP="004067DA">
            <w:pPr>
              <w:jc w:val="center"/>
            </w:pPr>
            <w:r w:rsidRPr="004067DA">
              <w:rPr>
                <w:sz w:val="22"/>
                <w:szCs w:val="22"/>
              </w:rPr>
              <w:t>44%</w:t>
            </w:r>
          </w:p>
        </w:tc>
      </w:tr>
    </w:tbl>
    <w:p w14:paraId="35AE2B1B" w14:textId="77777777" w:rsidR="00940D15" w:rsidRDefault="00940D15" w:rsidP="00621D85">
      <w:pPr>
        <w:jc w:val="both"/>
        <w:rPr>
          <w:b/>
          <w:bCs/>
          <w:sz w:val="22"/>
          <w:szCs w:val="22"/>
        </w:rPr>
      </w:pPr>
    </w:p>
    <w:p w14:paraId="75B87476" w14:textId="77777777" w:rsidR="00940D15" w:rsidRDefault="00940D15" w:rsidP="00621D85">
      <w:pPr>
        <w:jc w:val="both"/>
        <w:rPr>
          <w:b/>
          <w:bCs/>
          <w:sz w:val="22"/>
          <w:szCs w:val="22"/>
        </w:rPr>
      </w:pPr>
    </w:p>
    <w:p w14:paraId="4058C1E9" w14:textId="77777777" w:rsidR="00940D15" w:rsidRDefault="00940D15" w:rsidP="00621D85">
      <w:pPr>
        <w:jc w:val="both"/>
        <w:rPr>
          <w:b/>
          <w:bCs/>
          <w:sz w:val="22"/>
          <w:szCs w:val="22"/>
        </w:rPr>
        <w:sectPr w:rsidR="00940D15" w:rsidSect="00AC3C33">
          <w:type w:val="continuous"/>
          <w:pgSz w:w="12240" w:h="15840"/>
          <w:pgMar w:top="1440" w:right="1440" w:bottom="1440" w:left="1440" w:header="720" w:footer="720" w:gutter="0"/>
          <w:cols w:space="720"/>
          <w:docGrid w:linePitch="360"/>
        </w:sectPr>
      </w:pPr>
    </w:p>
    <w:p w14:paraId="2813E8FA" w14:textId="77777777" w:rsidR="00940D15" w:rsidRDefault="00940D15" w:rsidP="00621D85">
      <w:pPr>
        <w:jc w:val="both"/>
        <w:rPr>
          <w:sz w:val="22"/>
          <w:szCs w:val="22"/>
        </w:rPr>
      </w:pPr>
      <w:r w:rsidRPr="00621D85">
        <w:rPr>
          <w:sz w:val="22"/>
          <w:szCs w:val="22"/>
        </w:rPr>
        <w:lastRenderedPageBreak/>
        <w:t xml:space="preserve">Road quality, for instance, was observed to vary among bike routes. Often, designated bike routes were found to be located on high-traffic motorways. Traffic was a frequently cited concern in the neighborhood surveys. While many bus stops were observed to have shade, a bench and a trashcan, few featured adequate lighting. The observational assessment process also yielded unique fixtures not located on the route map. In one community, a “home-made” bus stop was in better condition and possessed more features than most other bus stops in the neighborhood. Local ownership of this stop was protective of graffiti and vandalism as compared to municipally maintained fixtures.  Survey </w:t>
      </w:r>
      <w:r>
        <w:rPr>
          <w:sz w:val="22"/>
          <w:szCs w:val="22"/>
        </w:rPr>
        <w:br/>
      </w:r>
      <w:r>
        <w:rPr>
          <w:sz w:val="22"/>
          <w:szCs w:val="22"/>
        </w:rPr>
        <w:br/>
      </w:r>
      <w:r w:rsidRPr="00621D85">
        <w:rPr>
          <w:sz w:val="22"/>
          <w:szCs w:val="22"/>
        </w:rPr>
        <w:lastRenderedPageBreak/>
        <w:t>respondents did not prioritize bus stops and rarely prioritized bicycle-related neighborhood improvements. More frequently, neighborhood residents selected infrastructural changes aimed at improving walk</w:t>
      </w:r>
      <w:r>
        <w:rPr>
          <w:sz w:val="22"/>
          <w:szCs w:val="22"/>
        </w:rPr>
        <w:t xml:space="preserve"> </w:t>
      </w:r>
      <w:r w:rsidRPr="00621D85">
        <w:rPr>
          <w:sz w:val="22"/>
          <w:szCs w:val="22"/>
        </w:rPr>
        <w:t>ability. Again, the key informant interviews reinforced the desire for such improvements:</w:t>
      </w:r>
    </w:p>
    <w:p w14:paraId="1EDD96CA" w14:textId="77777777" w:rsidR="00940D15" w:rsidRPr="00621D85" w:rsidRDefault="00940D15" w:rsidP="00621D85">
      <w:pPr>
        <w:jc w:val="both"/>
        <w:rPr>
          <w:sz w:val="22"/>
          <w:szCs w:val="22"/>
        </w:rPr>
      </w:pPr>
    </w:p>
    <w:p w14:paraId="35EE804D" w14:textId="77777777" w:rsidR="00940D15" w:rsidRDefault="00940D15" w:rsidP="004A3363">
      <w:pPr>
        <w:ind w:left="360"/>
        <w:jc w:val="both"/>
        <w:rPr>
          <w:sz w:val="22"/>
          <w:szCs w:val="22"/>
        </w:rPr>
      </w:pPr>
      <w:r>
        <w:rPr>
          <w:sz w:val="22"/>
          <w:szCs w:val="22"/>
        </w:rPr>
        <w:t>“</w:t>
      </w:r>
      <w:r w:rsidRPr="00621D85">
        <w:rPr>
          <w:sz w:val="22"/>
          <w:szCs w:val="22"/>
        </w:rPr>
        <w:t>When they put in the other portions of the lights, we saw more people going for walks, … in the evening or even early in the morning before daylight. They aren’t afraid to go out when it’s lit up.</w:t>
      </w:r>
      <w:r>
        <w:rPr>
          <w:sz w:val="22"/>
          <w:szCs w:val="22"/>
        </w:rPr>
        <w:t>”</w:t>
      </w:r>
    </w:p>
    <w:p w14:paraId="19BCD74D" w14:textId="77777777" w:rsidR="00940D15" w:rsidRPr="00621D85" w:rsidRDefault="00940D15" w:rsidP="00621D85">
      <w:pPr>
        <w:jc w:val="both"/>
        <w:rPr>
          <w:sz w:val="22"/>
          <w:szCs w:val="22"/>
        </w:rPr>
      </w:pPr>
    </w:p>
    <w:p w14:paraId="7C9C69D4" w14:textId="77777777" w:rsidR="00940D15" w:rsidRDefault="00940D15" w:rsidP="00621D85">
      <w:pPr>
        <w:jc w:val="both"/>
        <w:rPr>
          <w:sz w:val="22"/>
          <w:szCs w:val="22"/>
        </w:rPr>
      </w:pPr>
      <w:r w:rsidRPr="00621D85">
        <w:rPr>
          <w:sz w:val="22"/>
          <w:szCs w:val="22"/>
        </w:rPr>
        <w:t xml:space="preserve">In these cases, the need for sidewalks and better </w:t>
      </w:r>
      <w:r>
        <w:rPr>
          <w:sz w:val="22"/>
          <w:szCs w:val="22"/>
        </w:rPr>
        <w:br/>
      </w:r>
      <w:r>
        <w:rPr>
          <w:sz w:val="22"/>
          <w:szCs w:val="22"/>
        </w:rPr>
        <w:br/>
      </w:r>
      <w:r w:rsidRPr="00621D85">
        <w:rPr>
          <w:sz w:val="22"/>
          <w:szCs w:val="22"/>
        </w:rPr>
        <w:lastRenderedPageBreak/>
        <w:t>lighting was often aligned with community-articulated concerns regarding neighborhood crime.</w:t>
      </w:r>
    </w:p>
    <w:p w14:paraId="1794E773" w14:textId="77777777" w:rsidR="00940D15" w:rsidRPr="00621D85" w:rsidRDefault="00940D15" w:rsidP="00621D85">
      <w:pPr>
        <w:jc w:val="both"/>
        <w:rPr>
          <w:sz w:val="22"/>
          <w:szCs w:val="22"/>
        </w:rPr>
      </w:pPr>
    </w:p>
    <w:p w14:paraId="467FDCF3" w14:textId="77777777" w:rsidR="00940D15" w:rsidRPr="004A3363" w:rsidRDefault="00940D15" w:rsidP="00621D85">
      <w:pPr>
        <w:jc w:val="both"/>
        <w:rPr>
          <w:b/>
          <w:bCs/>
          <w:sz w:val="22"/>
          <w:szCs w:val="22"/>
        </w:rPr>
      </w:pPr>
      <w:r w:rsidRPr="004A3363">
        <w:rPr>
          <w:b/>
          <w:bCs/>
          <w:sz w:val="22"/>
          <w:szCs w:val="22"/>
        </w:rPr>
        <w:t>Community Stress</w:t>
      </w:r>
    </w:p>
    <w:p w14:paraId="324C3CA1" w14:textId="77777777" w:rsidR="00940D15" w:rsidRDefault="00940D15" w:rsidP="00621D85">
      <w:pPr>
        <w:jc w:val="both"/>
        <w:rPr>
          <w:sz w:val="22"/>
          <w:szCs w:val="22"/>
        </w:rPr>
      </w:pPr>
      <w:r w:rsidRPr="00621D85">
        <w:rPr>
          <w:sz w:val="22"/>
          <w:szCs w:val="22"/>
        </w:rPr>
        <w:t xml:space="preserve">Poverty rates in target areas were substantially greater when compared to Pima County, with a few exceptions. When compared to all of Tucson, a portion of these high-risk areas displayed greater proportions of crime such as robbery, aggravated assault and larceny. Evaluators’ observational photographic assessments complemented secondary data and captured physical conditions of neighborhood environments. Photographs included observed incidences of vandalized properties, often tagged with graffiti. In-depth interviews with neighborhood connectors provided a voice for these images. Key informants provided insight into community experiences and concerns contributing to environmental stress, including financial stress, safety, crime and heightened fear due to the political climate.  For example, some connectors mentioned the anti-immigrant environment in some areas of Pima County, which potentially serves </w:t>
      </w:r>
      <w:r>
        <w:rPr>
          <w:sz w:val="22"/>
          <w:szCs w:val="22"/>
        </w:rPr>
        <w:t xml:space="preserve">as </w:t>
      </w:r>
      <w:r w:rsidRPr="00621D85">
        <w:rPr>
          <w:sz w:val="22"/>
          <w:szCs w:val="22"/>
        </w:rPr>
        <w:t xml:space="preserve">a barrier to residents’ willingness to access community resources. Neighborhood surveys provided further insight into the findings from the key informant interviews and solicited valuable information regarding community concerns, priorities and desired improvements. Neighborhood surveys also created an opportunity for residents to share </w:t>
      </w:r>
      <w:r>
        <w:rPr>
          <w:sz w:val="22"/>
          <w:szCs w:val="22"/>
        </w:rPr>
        <w:t xml:space="preserve">concerns about </w:t>
      </w:r>
      <w:r w:rsidRPr="00621D85">
        <w:rPr>
          <w:sz w:val="22"/>
          <w:szCs w:val="22"/>
        </w:rPr>
        <w:t>environmental stressors, including lack of lighting, poor safety and infrastructure. The tool helped to identify residents’ main priorities, which generally included increased lighting, parks and community cohesion.</w:t>
      </w:r>
    </w:p>
    <w:p w14:paraId="31BECAF9" w14:textId="77777777" w:rsidR="00940D15" w:rsidRPr="00621D85" w:rsidRDefault="00940D15" w:rsidP="00621D85">
      <w:pPr>
        <w:jc w:val="both"/>
        <w:rPr>
          <w:sz w:val="22"/>
          <w:szCs w:val="22"/>
        </w:rPr>
      </w:pPr>
    </w:p>
    <w:p w14:paraId="7F7D8E2A" w14:textId="77777777" w:rsidR="00940D15" w:rsidRPr="004A3363" w:rsidRDefault="00940D15" w:rsidP="00621D85">
      <w:pPr>
        <w:jc w:val="both"/>
        <w:rPr>
          <w:b/>
          <w:bCs/>
          <w:sz w:val="22"/>
          <w:szCs w:val="22"/>
        </w:rPr>
      </w:pPr>
      <w:r w:rsidRPr="004A3363">
        <w:rPr>
          <w:b/>
          <w:bCs/>
          <w:sz w:val="22"/>
          <w:szCs w:val="22"/>
        </w:rPr>
        <w:t>Community Resources</w:t>
      </w:r>
    </w:p>
    <w:p w14:paraId="0EC3EE0D" w14:textId="77777777" w:rsidR="00940D15" w:rsidRDefault="00940D15" w:rsidP="00621D85">
      <w:pPr>
        <w:jc w:val="both"/>
        <w:rPr>
          <w:sz w:val="22"/>
          <w:szCs w:val="22"/>
        </w:rPr>
      </w:pPr>
      <w:r w:rsidRPr="00621D85">
        <w:rPr>
          <w:sz w:val="22"/>
          <w:szCs w:val="22"/>
        </w:rPr>
        <w:t xml:space="preserve">Identification of health service providers, faith-based organizations and neighborhood centers highlighted the community resource section of the profile document. Observational assessment photographs captured distinctive cultural assets, which incorporated a sense of neighborhood identity into profiles. In some communities, religious influence was evidenced by religious shrines, tiles and other artwork. In most neighborhoods, vibrant artwork enriched the </w:t>
      </w:r>
      <w:r>
        <w:rPr>
          <w:sz w:val="22"/>
          <w:szCs w:val="22"/>
        </w:rPr>
        <w:br/>
      </w:r>
      <w:r>
        <w:rPr>
          <w:sz w:val="22"/>
          <w:szCs w:val="22"/>
        </w:rPr>
        <w:lastRenderedPageBreak/>
        <w:br/>
      </w:r>
      <w:r w:rsidRPr="00621D85">
        <w:rPr>
          <w:sz w:val="22"/>
          <w:szCs w:val="22"/>
        </w:rPr>
        <w:t xml:space="preserve">appearance of parks, schools, churches and major streets. Neighborhood connectors filled observational gaps with insight into community organizations and facilities that are an integral part of the community but were less apparent to observers as well as community plans and projects </w:t>
      </w:r>
      <w:r>
        <w:rPr>
          <w:sz w:val="22"/>
          <w:szCs w:val="22"/>
        </w:rPr>
        <w:t xml:space="preserve">in progress or in development. </w:t>
      </w:r>
      <w:r w:rsidRPr="00621D85">
        <w:rPr>
          <w:sz w:val="22"/>
          <w:szCs w:val="22"/>
        </w:rPr>
        <w:t>Survey respondents shared what they considered to be community strengths, which commonly included fellow residents, quietness and atmosphere. Surveys revealed residents’ perceived access to available neighborhood resources, which illustrated awareness of and perceived barriers to existing resources. Unused vacant spaces, identified via observation, were recommended by connectors and residents as opportunities for community efforts.</w:t>
      </w:r>
    </w:p>
    <w:p w14:paraId="0D9027E4" w14:textId="77777777" w:rsidR="00940D15" w:rsidRPr="00621D85" w:rsidRDefault="00940D15" w:rsidP="00621D85">
      <w:pPr>
        <w:jc w:val="both"/>
        <w:rPr>
          <w:sz w:val="22"/>
          <w:szCs w:val="22"/>
        </w:rPr>
      </w:pPr>
    </w:p>
    <w:p w14:paraId="6E570E06" w14:textId="77777777" w:rsidR="00940D15" w:rsidRPr="004A3363" w:rsidRDefault="00940D15" w:rsidP="00621D85">
      <w:pPr>
        <w:jc w:val="both"/>
        <w:rPr>
          <w:b/>
          <w:bCs/>
          <w:sz w:val="22"/>
          <w:szCs w:val="22"/>
        </w:rPr>
      </w:pPr>
      <w:r w:rsidRPr="004A3363">
        <w:rPr>
          <w:b/>
          <w:bCs/>
          <w:sz w:val="22"/>
          <w:szCs w:val="22"/>
        </w:rPr>
        <w:t>Discussion</w:t>
      </w:r>
    </w:p>
    <w:p w14:paraId="1CC1DEDD" w14:textId="77777777" w:rsidR="00940D15" w:rsidRDefault="00940D15" w:rsidP="00621D85">
      <w:pPr>
        <w:jc w:val="both"/>
        <w:rPr>
          <w:sz w:val="22"/>
          <w:szCs w:val="22"/>
        </w:rPr>
      </w:pPr>
      <w:r w:rsidRPr="00621D85">
        <w:rPr>
          <w:sz w:val="22"/>
          <w:szCs w:val="22"/>
        </w:rPr>
        <w:t>This paper documents a comprehensive process for evaluating nutrition and physical activity environments at the neighborhood level and describes a process in which the neighborhood profile can be used in community-engaged planning. The compilation of four data sources provided residents with a comprehensive view of their community.  Secondary data provided a foundation of demographics, infrastructure, stress indicators, and community resources.  Observational assessments, interviews and surveys contributed contextual perspectives to the quantitative data.   Concern over crime expressed in the surveys wa</w:t>
      </w:r>
      <w:r>
        <w:rPr>
          <w:sz w:val="22"/>
          <w:szCs w:val="22"/>
        </w:rPr>
        <w:t xml:space="preserve">s mirrored in the census data. </w:t>
      </w:r>
      <w:r w:rsidRPr="00621D85">
        <w:rPr>
          <w:sz w:val="22"/>
          <w:szCs w:val="22"/>
        </w:rPr>
        <w:t xml:space="preserve">Neighborhood surveys echoed the lack of food options and need for an infrastructure uncovered by the secondary data– streets, lights, sidewalks and flood control. The importance of multiple data sources was conveyed by the fact that singular sources did not accurately capture community needs.  In several neighborhoods, secondary data indicated that recreational sites were available, while the observational assessment revealed that many were closed to the public. Key informants then explained that sites had been open to residents, but were currently closed due to budget cuts or vandalism and gang activity. Neighborhood surveys indicated that residents were often unaware of whether or not facilities were available to the public, and some residents </w:t>
      </w:r>
      <w:r>
        <w:rPr>
          <w:sz w:val="22"/>
          <w:szCs w:val="22"/>
        </w:rPr>
        <w:br/>
      </w:r>
      <w:r>
        <w:rPr>
          <w:sz w:val="22"/>
          <w:szCs w:val="22"/>
        </w:rPr>
        <w:lastRenderedPageBreak/>
        <w:br/>
      </w:r>
      <w:r w:rsidRPr="00621D85">
        <w:rPr>
          <w:sz w:val="22"/>
          <w:szCs w:val="22"/>
        </w:rPr>
        <w:t>expressed frustration that while their children spent so much of the day at school, it seemed unfair that grounds were unavailable after class.</w:t>
      </w:r>
    </w:p>
    <w:p w14:paraId="548F804D" w14:textId="77777777" w:rsidR="00940D15" w:rsidRPr="00621D85" w:rsidRDefault="00940D15" w:rsidP="00621D85">
      <w:pPr>
        <w:jc w:val="both"/>
        <w:rPr>
          <w:sz w:val="22"/>
          <w:szCs w:val="22"/>
        </w:rPr>
      </w:pPr>
    </w:p>
    <w:p w14:paraId="2039F6C5" w14:textId="77777777" w:rsidR="00940D15" w:rsidRDefault="00940D15" w:rsidP="00621D85">
      <w:pPr>
        <w:jc w:val="both"/>
        <w:rPr>
          <w:sz w:val="22"/>
          <w:szCs w:val="22"/>
        </w:rPr>
      </w:pPr>
      <w:r w:rsidRPr="00621D85">
        <w:rPr>
          <w:sz w:val="22"/>
          <w:szCs w:val="22"/>
        </w:rPr>
        <w:t>Neighborhood connectors used the neighborhood profiles to identify community resources, involve community members in a planning process, and leverage local resources. The connectors were responsible for coordinating a visioning process, which varied in each neighborhood but generally consisted of a series of meeting</w:t>
      </w:r>
      <w:r>
        <w:rPr>
          <w:sz w:val="22"/>
          <w:szCs w:val="22"/>
        </w:rPr>
        <w:t xml:space="preserve">s with neighborhood residents. </w:t>
      </w:r>
      <w:r w:rsidRPr="00621D85">
        <w:rPr>
          <w:sz w:val="22"/>
          <w:szCs w:val="22"/>
        </w:rPr>
        <w:t>With CPPW and leveraged funding, the neighborhoods developed proposals for small projects that included developing community gardens, rainwater harvesting for shade trees and pedestrian corridor enhancements. As an example of this process, in one neighborhood survey, residents responded that they were traveling 30 minutes or more to buy food. After results were shared by the connector, residents began talking to the Community Food Bank about starting a mobile farmers’ market.</w:t>
      </w:r>
    </w:p>
    <w:p w14:paraId="6ABCB383" w14:textId="77777777" w:rsidR="00940D15" w:rsidRPr="00621D85" w:rsidRDefault="00940D15" w:rsidP="00621D85">
      <w:pPr>
        <w:jc w:val="both"/>
        <w:rPr>
          <w:sz w:val="22"/>
          <w:szCs w:val="22"/>
        </w:rPr>
      </w:pPr>
    </w:p>
    <w:p w14:paraId="643FA186" w14:textId="77777777" w:rsidR="00940D15" w:rsidRDefault="00940D15" w:rsidP="00621D85">
      <w:pPr>
        <w:jc w:val="both"/>
        <w:rPr>
          <w:sz w:val="22"/>
          <w:szCs w:val="22"/>
        </w:rPr>
      </w:pPr>
      <w:r w:rsidRPr="00621D85">
        <w:rPr>
          <w:sz w:val="22"/>
          <w:szCs w:val="22"/>
        </w:rPr>
        <w:t>Overall, findings from this study demonstrate that while these urban, largely Latino neighborhoods are challenged by lack of affordable, healthy food vendors and safe, accessible recreational opportunities, they also have numerous communit</w:t>
      </w:r>
      <w:r>
        <w:rPr>
          <w:sz w:val="22"/>
          <w:szCs w:val="22"/>
        </w:rPr>
        <w:t xml:space="preserve">y resources and opportunities. </w:t>
      </w:r>
      <w:r w:rsidRPr="00621D85">
        <w:rPr>
          <w:sz w:val="22"/>
          <w:szCs w:val="22"/>
        </w:rPr>
        <w:t>The neighborhood surveys revealed common concerns among city residents in prioritizing night lighting, walking paths, community gardens and healthy food vendors as priorities for improvements, which could</w:t>
      </w:r>
      <w:r>
        <w:rPr>
          <w:sz w:val="22"/>
          <w:szCs w:val="22"/>
        </w:rPr>
        <w:t xml:space="preserve"> be addressed at a city level.</w:t>
      </w:r>
      <w:r w:rsidRPr="00621D85">
        <w:rPr>
          <w:sz w:val="22"/>
          <w:szCs w:val="22"/>
        </w:rPr>
        <w:t xml:space="preserve"> While not directly responsible for policy change, the profiles contributed to these changes through the identification of small projects funded by CPPW, which in turn impacted the ability of neighborhoods to leverage city funding for infrastructure improvements or to work with local organizations to open their grounds to the public for recreational purposes.</w:t>
      </w:r>
    </w:p>
    <w:p w14:paraId="782471F6" w14:textId="77777777" w:rsidR="00940D15" w:rsidRPr="00621D85" w:rsidRDefault="00940D15" w:rsidP="00621D85">
      <w:pPr>
        <w:jc w:val="both"/>
        <w:rPr>
          <w:sz w:val="22"/>
          <w:szCs w:val="22"/>
        </w:rPr>
      </w:pPr>
    </w:p>
    <w:p w14:paraId="2934D3DE" w14:textId="77777777" w:rsidR="00940D15" w:rsidRPr="004A3363" w:rsidRDefault="00940D15" w:rsidP="00621D85">
      <w:pPr>
        <w:jc w:val="both"/>
        <w:rPr>
          <w:b/>
          <w:bCs/>
          <w:sz w:val="22"/>
          <w:szCs w:val="22"/>
        </w:rPr>
      </w:pPr>
      <w:r w:rsidRPr="004A3363">
        <w:rPr>
          <w:b/>
          <w:bCs/>
          <w:sz w:val="22"/>
          <w:szCs w:val="22"/>
        </w:rPr>
        <w:t>Limitations</w:t>
      </w:r>
    </w:p>
    <w:p w14:paraId="6AB0BBE5" w14:textId="77777777" w:rsidR="00940D15" w:rsidRDefault="00940D15" w:rsidP="00621D85">
      <w:pPr>
        <w:jc w:val="both"/>
        <w:rPr>
          <w:sz w:val="22"/>
          <w:szCs w:val="22"/>
        </w:rPr>
      </w:pPr>
      <w:r w:rsidRPr="00621D85">
        <w:rPr>
          <w:sz w:val="22"/>
          <w:szCs w:val="22"/>
        </w:rPr>
        <w:t>Further use of the neighborhood profile will reveal its effectiveness as an evaluation tool for environmental and systems c</w:t>
      </w:r>
      <w:r>
        <w:rPr>
          <w:sz w:val="22"/>
          <w:szCs w:val="22"/>
        </w:rPr>
        <w:t xml:space="preserve">hange at a </w:t>
      </w:r>
      <w:r>
        <w:rPr>
          <w:sz w:val="22"/>
          <w:szCs w:val="22"/>
        </w:rPr>
        <w:lastRenderedPageBreak/>
        <w:t xml:space="preserve">neighborhood level. </w:t>
      </w:r>
      <w:r w:rsidRPr="00621D85">
        <w:rPr>
          <w:sz w:val="22"/>
          <w:szCs w:val="22"/>
        </w:rPr>
        <w:t xml:space="preserve">Challenges in the development and implementation of the tool included </w:t>
      </w:r>
      <w:r>
        <w:rPr>
          <w:sz w:val="22"/>
          <w:szCs w:val="22"/>
        </w:rPr>
        <w:t xml:space="preserve">having a </w:t>
      </w:r>
      <w:r w:rsidRPr="00621D85">
        <w:rPr>
          <w:sz w:val="22"/>
          <w:szCs w:val="22"/>
        </w:rPr>
        <w:t>diverse neighborhood geography, neighborhood density, street and census boundaries and language. Larger target areas required multiple days of meticulous observational assessment. Evaluators attempted to assess the food availability and quality of every food vendor, which quickly became the most time-consuming effort. Evaluators were challenged with ensuring that key informants could speak on behalf of the entire areas and striving for representativ</w:t>
      </w:r>
      <w:r>
        <w:rPr>
          <w:sz w:val="22"/>
          <w:szCs w:val="22"/>
        </w:rPr>
        <w:t xml:space="preserve">e neighborhood survey samples. </w:t>
      </w:r>
      <w:r w:rsidRPr="00621D85">
        <w:rPr>
          <w:sz w:val="22"/>
          <w:szCs w:val="22"/>
        </w:rPr>
        <w:t>Resolving geographical boundaries and community resources was also challenging. In order to maintain consistency, resources were not included if they were located across the street from a designated neighborhood boundary. If the profiles were being compiled for a specific neighborhood, this issue could be addre</w:t>
      </w:r>
      <w:r>
        <w:rPr>
          <w:sz w:val="22"/>
          <w:szCs w:val="22"/>
        </w:rPr>
        <w:t xml:space="preserve">ssed with community residents. </w:t>
      </w:r>
      <w:r w:rsidRPr="00621D85">
        <w:rPr>
          <w:sz w:val="22"/>
          <w:szCs w:val="22"/>
        </w:rPr>
        <w:t>Although the survey data was collected in Spanish and English, the neighborhood profile documents were only made available in English due to grant-related time constraints, which potentially limited usefulness to non-English speake</w:t>
      </w:r>
      <w:r>
        <w:rPr>
          <w:sz w:val="22"/>
          <w:szCs w:val="22"/>
        </w:rPr>
        <w:t>rs or foreign-born individuals.</w:t>
      </w:r>
    </w:p>
    <w:p w14:paraId="19252EA3" w14:textId="77777777" w:rsidR="00940D15" w:rsidRPr="00621D85" w:rsidRDefault="00940D15" w:rsidP="00621D85">
      <w:pPr>
        <w:jc w:val="both"/>
        <w:rPr>
          <w:sz w:val="22"/>
          <w:szCs w:val="22"/>
        </w:rPr>
      </w:pPr>
    </w:p>
    <w:p w14:paraId="427AF303" w14:textId="77777777" w:rsidR="00940D15" w:rsidRPr="004A3363" w:rsidRDefault="00940D15" w:rsidP="00621D85">
      <w:pPr>
        <w:jc w:val="both"/>
        <w:rPr>
          <w:b/>
          <w:bCs/>
          <w:sz w:val="22"/>
          <w:szCs w:val="22"/>
        </w:rPr>
      </w:pPr>
      <w:r w:rsidRPr="004A3363">
        <w:rPr>
          <w:b/>
          <w:bCs/>
          <w:sz w:val="22"/>
          <w:szCs w:val="22"/>
        </w:rPr>
        <w:t>Implications</w:t>
      </w:r>
    </w:p>
    <w:p w14:paraId="01C9A517" w14:textId="77777777" w:rsidR="00940D15" w:rsidRDefault="00940D15" w:rsidP="00621D85">
      <w:pPr>
        <w:jc w:val="both"/>
        <w:rPr>
          <w:sz w:val="22"/>
          <w:szCs w:val="22"/>
        </w:rPr>
      </w:pPr>
      <w:r w:rsidRPr="00621D85">
        <w:rPr>
          <w:sz w:val="22"/>
          <w:szCs w:val="22"/>
        </w:rPr>
        <w:t>Neighborhood profiles offered communities a locally generated, comprehensive view of community identity, strengths, weaknesses and opportunities.  In Pima County, CPPW provided resources and expertise to neighborhoods to help visualize and obtain these goals as demonstrated by a collaborative visioning process between the neighborhoods and PRO Neighborhoods Connectors. Given the results of this initial experience with largely Latino communities in Southern Arizona, these neighborhood profiles demonstrated potential as both an evaluation and a community planning tool to assist diverse communities to address prioritized issues of health and wellbeing.</w:t>
      </w:r>
    </w:p>
    <w:p w14:paraId="2FCF2585" w14:textId="77777777" w:rsidR="00940D15" w:rsidRDefault="00940D15" w:rsidP="00621D85">
      <w:pPr>
        <w:jc w:val="both"/>
        <w:rPr>
          <w:sz w:val="22"/>
          <w:szCs w:val="22"/>
        </w:rPr>
      </w:pPr>
    </w:p>
    <w:p w14:paraId="38DF21B5" w14:textId="77777777" w:rsidR="00940D15" w:rsidRPr="004A3363" w:rsidRDefault="00940D15" w:rsidP="00621D85">
      <w:pPr>
        <w:jc w:val="both"/>
        <w:rPr>
          <w:b/>
          <w:bCs/>
          <w:sz w:val="22"/>
          <w:szCs w:val="22"/>
        </w:rPr>
      </w:pPr>
      <w:r w:rsidRPr="004A3363">
        <w:rPr>
          <w:b/>
          <w:bCs/>
          <w:sz w:val="22"/>
          <w:szCs w:val="22"/>
        </w:rPr>
        <w:t>Acknowledgements</w:t>
      </w:r>
    </w:p>
    <w:p w14:paraId="631CE4AF" w14:textId="77777777" w:rsidR="00940D15" w:rsidRDefault="00940D15" w:rsidP="00621D85">
      <w:pPr>
        <w:jc w:val="both"/>
        <w:rPr>
          <w:sz w:val="22"/>
          <w:szCs w:val="22"/>
        </w:rPr>
      </w:pPr>
      <w:r w:rsidRPr="00621D85">
        <w:rPr>
          <w:sz w:val="22"/>
          <w:szCs w:val="22"/>
        </w:rPr>
        <w:t xml:space="preserve">Funding for this project was made possible in part by FOA CDC-RFA-DP09-912ARRA09 from the Centers for Disease Control and Prevention (CDC). The views expressed in this publication do not necessarily reflect the official </w:t>
      </w:r>
      <w:r w:rsidRPr="00621D85">
        <w:rPr>
          <w:sz w:val="22"/>
          <w:szCs w:val="22"/>
        </w:rPr>
        <w:lastRenderedPageBreak/>
        <w:t xml:space="preserve">policies of the Department of Health and Human Services; nor does mention of trade names, </w:t>
      </w:r>
      <w:r w:rsidRPr="00621D85">
        <w:rPr>
          <w:sz w:val="22"/>
          <w:szCs w:val="22"/>
        </w:rPr>
        <w:lastRenderedPageBreak/>
        <w:t>commercial practices, or organizations imply endorsement by the US Government.</w:t>
      </w:r>
    </w:p>
    <w:p w14:paraId="667DF5CC" w14:textId="77777777" w:rsidR="00940D15" w:rsidRDefault="00940D15" w:rsidP="00621D85">
      <w:pPr>
        <w:jc w:val="both"/>
        <w:rPr>
          <w:sz w:val="22"/>
          <w:szCs w:val="22"/>
        </w:rPr>
      </w:pPr>
    </w:p>
    <w:p w14:paraId="094B865A" w14:textId="77777777" w:rsidR="00940D15" w:rsidRDefault="00940D15">
      <w:pPr>
        <w:rPr>
          <w:sz w:val="22"/>
          <w:szCs w:val="22"/>
        </w:rPr>
        <w:sectPr w:rsidR="00940D15" w:rsidSect="00621D85">
          <w:type w:val="continuous"/>
          <w:pgSz w:w="12240" w:h="15840"/>
          <w:pgMar w:top="1440" w:right="1440" w:bottom="1440" w:left="1440" w:header="720" w:footer="720" w:gutter="0"/>
          <w:cols w:num="2" w:space="720"/>
          <w:docGrid w:linePitch="360"/>
        </w:sectPr>
      </w:pPr>
    </w:p>
    <w:p w14:paraId="316DEC1C" w14:textId="77777777" w:rsidR="00940D15" w:rsidRDefault="00940D15">
      <w:pPr>
        <w:rPr>
          <w:sz w:val="22"/>
          <w:szCs w:val="22"/>
        </w:rPr>
      </w:pPr>
    </w:p>
    <w:p w14:paraId="6107B79A" w14:textId="77777777" w:rsidR="00940D15" w:rsidRDefault="00940D15">
      <w:pPr>
        <w:rPr>
          <w:sz w:val="22"/>
          <w:szCs w:val="22"/>
        </w:rPr>
      </w:pPr>
    </w:p>
    <w:p w14:paraId="001B6917" w14:textId="77777777" w:rsidR="00940D15" w:rsidRPr="00000B70" w:rsidRDefault="00940D15" w:rsidP="00FB05C6">
      <w:pPr>
        <w:rPr>
          <w:b/>
          <w:bCs/>
        </w:rPr>
      </w:pPr>
      <w:r w:rsidRPr="00000B70">
        <w:rPr>
          <w:b/>
          <w:bCs/>
        </w:rPr>
        <w:t>References</w:t>
      </w:r>
    </w:p>
    <w:p w14:paraId="369B382D" w14:textId="77777777" w:rsidR="00940D15" w:rsidRPr="00F9307C" w:rsidRDefault="00940D15" w:rsidP="00DE59DC">
      <w:pPr>
        <w:ind w:left="720" w:hanging="720"/>
      </w:pPr>
      <w:r w:rsidRPr="00F9307C">
        <w:t>Altschuler, A., Somkin, C. P</w:t>
      </w:r>
      <w:r>
        <w:t>.</w:t>
      </w:r>
      <w:r w:rsidRPr="00F9307C">
        <w:t xml:space="preserve">, &amp; Adler, N. E. (2004). Local services and amenities, neighborhood social capital and health. </w:t>
      </w:r>
      <w:r w:rsidRPr="00BE6398">
        <w:rPr>
          <w:i/>
          <w:iCs/>
        </w:rPr>
        <w:t>Social Science &amp; Medicine</w:t>
      </w:r>
      <w:r w:rsidRPr="00A339F2">
        <w:rPr>
          <w:i/>
          <w:iCs/>
        </w:rPr>
        <w:t>, 59</w:t>
      </w:r>
      <w:r w:rsidRPr="00F9307C">
        <w:t>, 1219-1229.</w:t>
      </w:r>
    </w:p>
    <w:p w14:paraId="7BC6DF40" w14:textId="77777777" w:rsidR="00940D15" w:rsidRDefault="00940D15" w:rsidP="00DE59DC">
      <w:pPr>
        <w:ind w:left="720" w:hanging="720"/>
      </w:pPr>
      <w:r w:rsidRPr="00F9307C">
        <w:t>Bond Huie</w:t>
      </w:r>
      <w:r>
        <w:t>,</w:t>
      </w:r>
      <w:r w:rsidRPr="00F9307C">
        <w:t xml:space="preserve"> S. A., Hummer R. A., and Rogers R. G. (2002). Individual and contextual risks of death among race and ethnic groups in the United States.</w:t>
      </w:r>
      <w:r w:rsidRPr="00BE6398">
        <w:rPr>
          <w:i/>
          <w:iCs/>
        </w:rPr>
        <w:t xml:space="preserve"> Journal of Health and Social Behavior</w:t>
      </w:r>
      <w:r w:rsidRPr="00A339F2">
        <w:rPr>
          <w:i/>
          <w:iCs/>
        </w:rPr>
        <w:t>, 43</w:t>
      </w:r>
      <w:r w:rsidRPr="00F9307C">
        <w:t>, 359-38.</w:t>
      </w:r>
    </w:p>
    <w:p w14:paraId="176F9EBA" w14:textId="77777777" w:rsidR="00940D15" w:rsidRDefault="00940D15" w:rsidP="00DE59DC">
      <w:pPr>
        <w:ind w:left="720" w:hanging="720"/>
      </w:pPr>
      <w:r w:rsidRPr="00F9307C">
        <w:t xml:space="preserve">Brownson, R. C., Hoehner, C. M., Brennan, L. K., Cook, R. A., Elliott, M. B., &amp; McMullen, K.M. (2004). Reliability of two instruments for auditing the environment for physical activity. </w:t>
      </w:r>
      <w:r w:rsidRPr="00BE6398">
        <w:rPr>
          <w:i/>
          <w:iCs/>
        </w:rPr>
        <w:t>Journal of Physical Activity and Health</w:t>
      </w:r>
      <w:r w:rsidRPr="00A339F2">
        <w:rPr>
          <w:i/>
          <w:iCs/>
        </w:rPr>
        <w:t>, 1</w:t>
      </w:r>
      <w:r w:rsidRPr="00F9307C">
        <w:t>, 189-207.</w:t>
      </w:r>
    </w:p>
    <w:p w14:paraId="3028FE71" w14:textId="77777777" w:rsidR="00940D15" w:rsidRDefault="00940D15" w:rsidP="00DE59DC">
      <w:pPr>
        <w:ind w:left="720" w:hanging="720"/>
      </w:pPr>
      <w:r w:rsidRPr="00F9307C">
        <w:t xml:space="preserve">Brownson, R. C., Hoehner, C. M., Day, K., Forsyth, A., &amp; Sallis, J. F. (2009). Measuring the </w:t>
      </w:r>
      <w:r w:rsidRPr="00F9307C">
        <w:br/>
        <w:t xml:space="preserve">built environment for physical activity: State of the science. </w:t>
      </w:r>
      <w:r w:rsidRPr="00BE6398">
        <w:rPr>
          <w:i/>
          <w:iCs/>
        </w:rPr>
        <w:t>American Journal of Preventive Medicine</w:t>
      </w:r>
      <w:r w:rsidRPr="006377B8">
        <w:rPr>
          <w:i/>
          <w:iCs/>
        </w:rPr>
        <w:t xml:space="preserve">, </w:t>
      </w:r>
      <w:r w:rsidRPr="00A339F2">
        <w:rPr>
          <w:i/>
          <w:iCs/>
        </w:rPr>
        <w:t>36</w:t>
      </w:r>
      <w:r w:rsidRPr="00F9307C">
        <w:t>(4S), S99-S123.</w:t>
      </w:r>
    </w:p>
    <w:p w14:paraId="2FB609B9" w14:textId="5F6F8FFE" w:rsidR="00940D15" w:rsidRDefault="00940D15" w:rsidP="00DE59DC">
      <w:pPr>
        <w:ind w:left="720" w:hanging="720"/>
      </w:pPr>
      <w:r>
        <w:t xml:space="preserve">Centers for Disease Control and Prevention (CDC). (2010). Food deserts. Retrieved from </w:t>
      </w:r>
      <w:r w:rsidRPr="00A152C0">
        <w:t>www.cdc.gov/features/fooddeserts/</w:t>
      </w:r>
    </w:p>
    <w:p w14:paraId="759FBB6C" w14:textId="77777777" w:rsidR="00940D15" w:rsidRDefault="00940D15" w:rsidP="00DE59DC">
      <w:pPr>
        <w:ind w:left="720" w:hanging="720"/>
      </w:pPr>
      <w:r w:rsidRPr="00F9307C">
        <w:t xml:space="preserve">Cutts, B. B., Darby, K. J., Boone, C. G., &amp; Brewis, A. (2009). An integrated analysis of physical and social barriers to walkable streets and park access. </w:t>
      </w:r>
      <w:r w:rsidRPr="00BE6398">
        <w:rPr>
          <w:i/>
          <w:iCs/>
        </w:rPr>
        <w:t>Social Science &amp; Medicine</w:t>
      </w:r>
      <w:r w:rsidRPr="00A339F2">
        <w:rPr>
          <w:i/>
          <w:iCs/>
        </w:rPr>
        <w:t>, 69</w:t>
      </w:r>
      <w:r w:rsidRPr="00F9307C">
        <w:t>, 1314-1322.</w:t>
      </w:r>
    </w:p>
    <w:p w14:paraId="0BE60770" w14:textId="77777777" w:rsidR="00940D15" w:rsidRDefault="00940D15" w:rsidP="00DE59DC">
      <w:pPr>
        <w:ind w:left="720" w:hanging="720"/>
      </w:pPr>
      <w:r w:rsidRPr="00F9307C">
        <w:t xml:space="preserve">Evenson, K. R., Sarmiento, O. L., Tawney, K. W., Macon, M. L., &amp; Ammerman, A. S. (2003). Personal, social, and environmental correlates of physical activity in North Carolina Latina immigrants. </w:t>
      </w:r>
      <w:r w:rsidRPr="00BE6398">
        <w:rPr>
          <w:i/>
          <w:iCs/>
        </w:rPr>
        <w:t>American Journal of Preventive Medicine</w:t>
      </w:r>
      <w:r w:rsidRPr="00A339F2">
        <w:rPr>
          <w:i/>
          <w:iCs/>
        </w:rPr>
        <w:t>, 25</w:t>
      </w:r>
      <w:r w:rsidRPr="00F9307C">
        <w:t>(3), 77-85.</w:t>
      </w:r>
    </w:p>
    <w:p w14:paraId="12B80811" w14:textId="77777777" w:rsidR="00940D15" w:rsidRDefault="00940D15" w:rsidP="00DE59DC">
      <w:pPr>
        <w:ind w:left="720" w:hanging="720"/>
      </w:pPr>
      <w:r w:rsidRPr="00F9307C">
        <w:t>Frieden, T.</w:t>
      </w:r>
      <w:r>
        <w:t xml:space="preserve"> </w:t>
      </w:r>
      <w:r w:rsidRPr="00F9307C">
        <w:t xml:space="preserve">R., Dietz, W., &amp; Collins, J. (2010). Reducing childhood obesity through policy change: Acting now to prevent obesity. </w:t>
      </w:r>
      <w:r w:rsidRPr="00BE6398">
        <w:rPr>
          <w:i/>
          <w:iCs/>
        </w:rPr>
        <w:t>Journal of Health Affairs</w:t>
      </w:r>
      <w:r w:rsidRPr="00A339F2">
        <w:rPr>
          <w:i/>
          <w:iCs/>
        </w:rPr>
        <w:t>, 29</w:t>
      </w:r>
      <w:r w:rsidRPr="00F9307C">
        <w:t>(3), 357-363.</w:t>
      </w:r>
    </w:p>
    <w:p w14:paraId="391A2661" w14:textId="77777777" w:rsidR="00940D15" w:rsidRDefault="00940D15" w:rsidP="00DE59DC">
      <w:pPr>
        <w:ind w:left="720" w:hanging="720"/>
      </w:pPr>
      <w:r w:rsidRPr="00F9307C">
        <w:t>Gordon-Larsen, P., Nelson, M.</w:t>
      </w:r>
      <w:r>
        <w:t xml:space="preserve"> </w:t>
      </w:r>
      <w:r w:rsidRPr="00F9307C">
        <w:t>C., Page, P., &amp; Popkin, B.</w:t>
      </w:r>
      <w:r>
        <w:t xml:space="preserve"> </w:t>
      </w:r>
      <w:r w:rsidRPr="00F9307C">
        <w:t xml:space="preserve">M. (2006). Inequality in the built environment unlies key health disparities in physical activity and obesity. </w:t>
      </w:r>
      <w:r w:rsidRPr="00BE6398">
        <w:rPr>
          <w:i/>
          <w:iCs/>
        </w:rPr>
        <w:t>Pediatrics</w:t>
      </w:r>
      <w:r w:rsidRPr="00F9307C">
        <w:t xml:space="preserve">, </w:t>
      </w:r>
      <w:r w:rsidRPr="00A339F2">
        <w:rPr>
          <w:i/>
          <w:iCs/>
        </w:rPr>
        <w:t>117</w:t>
      </w:r>
      <w:r w:rsidRPr="00F9307C">
        <w:t>(2), 417-424.</w:t>
      </w:r>
    </w:p>
    <w:p w14:paraId="3B3F258A" w14:textId="77777777" w:rsidR="00940D15" w:rsidRDefault="00940D15" w:rsidP="00DE59DC">
      <w:pPr>
        <w:ind w:left="720" w:hanging="720"/>
      </w:pPr>
      <w:r w:rsidRPr="00F9307C">
        <w:t>Hoffrichter, R. (2003). The politics of health inequities. In R. Hoffrichter (Ed.), Health and social justice: Politics, ideology and inequity in the distribution of disease (pp.1-56). San Fra</w:t>
      </w:r>
      <w:r>
        <w:t>ncisco, CA: John Wiles and Sons</w:t>
      </w:r>
    </w:p>
    <w:p w14:paraId="008FF1DC" w14:textId="77777777" w:rsidR="00940D15" w:rsidRDefault="00940D15" w:rsidP="00DE59DC">
      <w:pPr>
        <w:ind w:left="720" w:hanging="720"/>
      </w:pPr>
      <w:r w:rsidRPr="00F9307C">
        <w:t xml:space="preserve">Kim, S., Adamson, K. C., Balfanz, D. R., Brownson, R. C., Wiecha, J. L., Shepard, D., &amp; Alles, W. F. (2010). Development of the community healthy living index: A tool to foster healthy environments for the prevention of obesity and chronic disease. </w:t>
      </w:r>
      <w:r w:rsidRPr="00BE6398">
        <w:rPr>
          <w:i/>
          <w:iCs/>
        </w:rPr>
        <w:t>American Journal of Preventive Medicine</w:t>
      </w:r>
      <w:r w:rsidRPr="00A339F2">
        <w:rPr>
          <w:i/>
          <w:iCs/>
        </w:rPr>
        <w:t>, 50</w:t>
      </w:r>
      <w:r w:rsidRPr="00F9307C">
        <w:t xml:space="preserve">(1), S80-5. </w:t>
      </w:r>
    </w:p>
    <w:p w14:paraId="2D3E266B" w14:textId="77777777" w:rsidR="00940D15" w:rsidRPr="00FB05C6" w:rsidRDefault="00940D15" w:rsidP="003349D9">
      <w:pPr>
        <w:ind w:left="720" w:hanging="720"/>
      </w:pPr>
      <w:r w:rsidRPr="00F9307C">
        <w:rPr>
          <w:color w:val="000000"/>
        </w:rPr>
        <w:t>Kumanyika, S.</w:t>
      </w:r>
      <w:r>
        <w:rPr>
          <w:color w:val="000000"/>
        </w:rPr>
        <w:t xml:space="preserve"> </w:t>
      </w:r>
      <w:r w:rsidRPr="00F9307C">
        <w:rPr>
          <w:color w:val="000000"/>
        </w:rPr>
        <w:t xml:space="preserve">K. (2008). Environmental influences on childhood obesity: Ethnic and cultural influences in context. </w:t>
      </w:r>
      <w:r w:rsidRPr="00BE6398">
        <w:rPr>
          <w:i/>
          <w:iCs/>
          <w:color w:val="000000"/>
        </w:rPr>
        <w:t>Physiology &amp; Behavior</w:t>
      </w:r>
      <w:r w:rsidRPr="006377B8">
        <w:rPr>
          <w:i/>
          <w:iCs/>
          <w:color w:val="000000"/>
        </w:rPr>
        <w:t>,</w:t>
      </w:r>
      <w:r w:rsidRPr="00A339F2">
        <w:rPr>
          <w:i/>
          <w:iCs/>
          <w:color w:val="000000"/>
        </w:rPr>
        <w:t xml:space="preserve"> 94</w:t>
      </w:r>
      <w:r w:rsidRPr="00F9307C">
        <w:rPr>
          <w:color w:val="000000"/>
        </w:rPr>
        <w:t>, 61-70.</w:t>
      </w:r>
    </w:p>
    <w:p w14:paraId="445491C4" w14:textId="77777777" w:rsidR="00940D15" w:rsidRPr="00F9307C" w:rsidRDefault="00940D15" w:rsidP="003349D9">
      <w:pPr>
        <w:ind w:left="720" w:hanging="720"/>
        <w:rPr>
          <w:color w:val="000000"/>
        </w:rPr>
      </w:pPr>
      <w:r w:rsidRPr="00F9307C">
        <w:rPr>
          <w:color w:val="000000"/>
        </w:rPr>
        <w:t xml:space="preserve">Labonte, R. (1994). Health promotion and empowerment: Reflections on professional practice. </w:t>
      </w:r>
      <w:r w:rsidRPr="00BE6398">
        <w:rPr>
          <w:i/>
          <w:iCs/>
          <w:color w:val="000000"/>
        </w:rPr>
        <w:t>Health Education &amp; Behavior</w:t>
      </w:r>
      <w:r w:rsidRPr="00A339F2">
        <w:rPr>
          <w:i/>
          <w:iCs/>
          <w:color w:val="000000"/>
        </w:rPr>
        <w:t>, 21</w:t>
      </w:r>
      <w:r>
        <w:rPr>
          <w:color w:val="000000"/>
        </w:rPr>
        <w:t>, 253-268</w:t>
      </w:r>
    </w:p>
    <w:p w14:paraId="7B68E8B3" w14:textId="77777777" w:rsidR="00940D15" w:rsidRPr="00F9307C" w:rsidRDefault="00940D15" w:rsidP="003349D9">
      <w:pPr>
        <w:autoSpaceDE w:val="0"/>
        <w:autoSpaceDN w:val="0"/>
        <w:adjustRightInd w:val="0"/>
        <w:ind w:left="720" w:hanging="720"/>
        <w:rPr>
          <w:lang w:eastAsia="ja-JP"/>
        </w:rPr>
      </w:pPr>
      <w:r w:rsidRPr="00F9307C">
        <w:rPr>
          <w:lang w:eastAsia="ja-JP"/>
        </w:rPr>
        <w:t xml:space="preserve">Larson, N. I., Story, M. T., &amp; Nelson, M. C. (2009). Neighborhood environments: Disparities in access to healthy foods in the U.S. </w:t>
      </w:r>
      <w:r w:rsidRPr="00BE6398">
        <w:rPr>
          <w:i/>
          <w:iCs/>
          <w:lang w:eastAsia="ja-JP"/>
        </w:rPr>
        <w:t>American Journal of Preventive Medicine</w:t>
      </w:r>
      <w:r w:rsidRPr="00A339F2">
        <w:rPr>
          <w:i/>
          <w:iCs/>
          <w:lang w:eastAsia="ja-JP"/>
        </w:rPr>
        <w:t>, 36</w:t>
      </w:r>
      <w:r>
        <w:rPr>
          <w:lang w:eastAsia="ja-JP"/>
        </w:rPr>
        <w:t>(1), 74-81</w:t>
      </w:r>
    </w:p>
    <w:p w14:paraId="02B4111E" w14:textId="77777777" w:rsidR="00940D15" w:rsidRDefault="00940D15" w:rsidP="003349D9">
      <w:pPr>
        <w:ind w:left="720" w:hanging="720"/>
      </w:pPr>
      <w:r w:rsidRPr="00F9307C">
        <w:t xml:space="preserve">Lee, R. E., Booth, K. M., Reese-Smith, J. Y., Regan, G., &amp; Howard, H. H. (2005). The Physical Activity Resource Assessment (PARA) instrument: Evaluating features, amenities, and </w:t>
      </w:r>
      <w:r w:rsidRPr="00F9307C">
        <w:lastRenderedPageBreak/>
        <w:t xml:space="preserve">incivilities of physical activity resources in urban neighborhoods. </w:t>
      </w:r>
      <w:r w:rsidRPr="00BE6398">
        <w:rPr>
          <w:i/>
          <w:iCs/>
        </w:rPr>
        <w:t>International Journal of Behavioral Nutrition and Physical Activity</w:t>
      </w:r>
      <w:r w:rsidRPr="00F9307C">
        <w:t xml:space="preserve">, </w:t>
      </w:r>
      <w:r w:rsidRPr="00A339F2">
        <w:rPr>
          <w:i/>
          <w:iCs/>
        </w:rPr>
        <w:t>2</w:t>
      </w:r>
      <w:r>
        <w:t>, 13</w:t>
      </w:r>
    </w:p>
    <w:p w14:paraId="51016990" w14:textId="77777777" w:rsidR="00940D15" w:rsidRDefault="00940D15" w:rsidP="003349D9">
      <w:pPr>
        <w:ind w:left="720" w:hanging="720"/>
      </w:pPr>
      <w:r w:rsidRPr="00F9307C">
        <w:rPr>
          <w:color w:val="000000"/>
        </w:rPr>
        <w:t xml:space="preserve">May, K. M., Mendelson, C., &amp; Ferketich, S. (1995). Community empowerment in rural health care. </w:t>
      </w:r>
      <w:r w:rsidRPr="00BE6398">
        <w:rPr>
          <w:i/>
          <w:iCs/>
          <w:color w:val="000000"/>
        </w:rPr>
        <w:t>Public Health Nursing</w:t>
      </w:r>
      <w:r>
        <w:rPr>
          <w:color w:val="000000"/>
        </w:rPr>
        <w:t>,</w:t>
      </w:r>
      <w:r w:rsidRPr="00F9307C">
        <w:rPr>
          <w:color w:val="000000"/>
        </w:rPr>
        <w:t xml:space="preserve"> </w:t>
      </w:r>
      <w:r w:rsidRPr="00A339F2">
        <w:rPr>
          <w:i/>
          <w:iCs/>
          <w:color w:val="000000"/>
        </w:rPr>
        <w:t>12</w:t>
      </w:r>
      <w:r w:rsidRPr="00F9307C">
        <w:rPr>
          <w:color w:val="000000"/>
        </w:rPr>
        <w:t>(1), 25-30</w:t>
      </w:r>
    </w:p>
    <w:p w14:paraId="3E3BA5F6" w14:textId="77777777" w:rsidR="00940D15" w:rsidRDefault="00940D15" w:rsidP="003349D9">
      <w:pPr>
        <w:ind w:left="720" w:hanging="720"/>
      </w:pPr>
      <w:r w:rsidRPr="00F9307C">
        <w:t xml:space="preserve">Michimi, A., &amp; Wimberly, M. C. (2010). Associations of supermarket accessibility with obesity and fruit and vegetable consumption in the conterminous United States. </w:t>
      </w:r>
      <w:r w:rsidRPr="00BE6398">
        <w:rPr>
          <w:i/>
          <w:iCs/>
        </w:rPr>
        <w:t>International Journal of Health Geographics</w:t>
      </w:r>
      <w:r w:rsidRPr="00A339F2">
        <w:rPr>
          <w:i/>
          <w:iCs/>
        </w:rPr>
        <w:t>, 9</w:t>
      </w:r>
      <w:r>
        <w:t>(1), 49</w:t>
      </w:r>
    </w:p>
    <w:p w14:paraId="115AA763" w14:textId="77777777" w:rsidR="00940D15" w:rsidRDefault="00940D15" w:rsidP="003349D9">
      <w:pPr>
        <w:ind w:left="720" w:hanging="720"/>
      </w:pPr>
      <w:r w:rsidRPr="00F9307C">
        <w:t>Miller, W.</w:t>
      </w:r>
      <w:r>
        <w:t xml:space="preserve"> </w:t>
      </w:r>
      <w:r w:rsidRPr="00F9307C">
        <w:t>D., Pollack, C.</w:t>
      </w:r>
      <w:r>
        <w:t xml:space="preserve"> </w:t>
      </w:r>
      <w:r w:rsidRPr="00F9307C">
        <w:t>E., &amp; Williams, D.</w:t>
      </w:r>
      <w:r>
        <w:t xml:space="preserve"> </w:t>
      </w:r>
      <w:r w:rsidRPr="00F9307C">
        <w:t xml:space="preserve">R. (2011). Healthy homes and communities: Putting the pieces together. </w:t>
      </w:r>
      <w:r w:rsidRPr="00BE6398">
        <w:rPr>
          <w:i/>
          <w:iCs/>
        </w:rPr>
        <w:t>American Journal of Preventative Medicine</w:t>
      </w:r>
      <w:r w:rsidRPr="00A339F2">
        <w:rPr>
          <w:i/>
          <w:iCs/>
        </w:rPr>
        <w:t>, 40</w:t>
      </w:r>
      <w:r w:rsidRPr="00F9307C">
        <w:t>(1), 48-57.</w:t>
      </w:r>
    </w:p>
    <w:p w14:paraId="5DD42C59" w14:textId="77777777" w:rsidR="00940D15" w:rsidRDefault="00940D15" w:rsidP="003349D9">
      <w:pPr>
        <w:ind w:left="720" w:hanging="720"/>
      </w:pPr>
      <w:r w:rsidRPr="00F9307C">
        <w:t>Mueller, D.</w:t>
      </w:r>
      <w:r>
        <w:t xml:space="preserve"> (2009).</w:t>
      </w:r>
      <w:r w:rsidRPr="00F9307C">
        <w:t xml:space="preserve"> ADA bus stop accessibility study report. </w:t>
      </w:r>
      <w:r>
        <w:t xml:space="preserve">Retrieved from  </w:t>
      </w:r>
      <w:r w:rsidRPr="00FB05C6">
        <w:t>http://www.pagnet.org/documents/committees/TPC/2010/PAGTPC-2010-01-06-ADABusStopReport.pdf</w:t>
      </w:r>
    </w:p>
    <w:p w14:paraId="2FB632B1" w14:textId="77777777" w:rsidR="00940D15" w:rsidRPr="00F9307C" w:rsidRDefault="00940D15" w:rsidP="003349D9">
      <w:pPr>
        <w:ind w:left="720" w:hanging="720"/>
      </w:pPr>
      <w:r w:rsidRPr="00F9307C">
        <w:t>Perrin, J.</w:t>
      </w:r>
      <w:r>
        <w:t xml:space="preserve"> </w:t>
      </w:r>
      <w:r w:rsidRPr="00F9307C">
        <w:t>M., Bloom, S.</w:t>
      </w:r>
      <w:r>
        <w:t xml:space="preserve"> </w:t>
      </w:r>
      <w:r w:rsidRPr="00F9307C">
        <w:t>R. &amp; Gortmaker, S.</w:t>
      </w:r>
      <w:r>
        <w:t xml:space="preserve"> </w:t>
      </w:r>
      <w:r w:rsidRPr="00F9307C">
        <w:t xml:space="preserve">L. (2007). The increase of childhood chronic conditions in the United States. </w:t>
      </w:r>
      <w:r w:rsidRPr="00BE6398">
        <w:rPr>
          <w:i/>
          <w:iCs/>
        </w:rPr>
        <w:t>Journal of the American Medical Association,</w:t>
      </w:r>
      <w:r w:rsidRPr="00F9307C">
        <w:t xml:space="preserve"> </w:t>
      </w:r>
      <w:r w:rsidRPr="00A339F2">
        <w:rPr>
          <w:i/>
          <w:iCs/>
        </w:rPr>
        <w:t>297</w:t>
      </w:r>
      <w:r w:rsidRPr="00F9307C">
        <w:t>(24), 2755-2759.</w:t>
      </w:r>
    </w:p>
    <w:p w14:paraId="7BC37A67" w14:textId="77777777" w:rsidR="00940D15" w:rsidRPr="00F9307C" w:rsidRDefault="00940D15" w:rsidP="00FB05C6">
      <w:pPr>
        <w:ind w:left="720" w:hanging="720"/>
      </w:pPr>
      <w:r w:rsidRPr="00F9307C">
        <w:t xml:space="preserve">Powell, L. M., Slater, S., Chaloupka, F. J., &amp; Harper, D. (2006). Availability of physical activity- related facilities and neighborhood demographic and socioeconomic characteristics: A national study. </w:t>
      </w:r>
      <w:r w:rsidRPr="00BE6398">
        <w:rPr>
          <w:i/>
          <w:iCs/>
        </w:rPr>
        <w:t>American Journal of Public Health</w:t>
      </w:r>
      <w:r w:rsidRPr="00A339F2">
        <w:rPr>
          <w:i/>
          <w:iCs/>
        </w:rPr>
        <w:t>, 96</w:t>
      </w:r>
      <w:r>
        <w:t>, 1676-1680.</w:t>
      </w:r>
    </w:p>
    <w:p w14:paraId="153BB3E9" w14:textId="77777777" w:rsidR="00940D15" w:rsidRDefault="00940D15" w:rsidP="00FB05C6">
      <w:pPr>
        <w:widowControl w:val="0"/>
        <w:tabs>
          <w:tab w:val="left" w:pos="-90"/>
        </w:tabs>
        <w:autoSpaceDE w:val="0"/>
        <w:autoSpaceDN w:val="0"/>
        <w:adjustRightInd w:val="0"/>
        <w:ind w:left="720" w:hanging="720"/>
      </w:pPr>
      <w:r w:rsidRPr="00F9307C">
        <w:t xml:space="preserve">Sallis, J. F., &amp; Glanz, K. (2009). Physical activity and food environments: Solutions to the obesity epidemic. </w:t>
      </w:r>
      <w:r w:rsidRPr="00BE6398">
        <w:rPr>
          <w:i/>
          <w:iCs/>
        </w:rPr>
        <w:t>Milbank Quarterly</w:t>
      </w:r>
      <w:r w:rsidRPr="00F9307C">
        <w:t xml:space="preserve">, </w:t>
      </w:r>
      <w:r w:rsidRPr="00A339F2">
        <w:rPr>
          <w:i/>
          <w:iCs/>
        </w:rPr>
        <w:t>87</w:t>
      </w:r>
      <w:r w:rsidRPr="00F9307C">
        <w:t>(1), 123-154.</w:t>
      </w:r>
    </w:p>
    <w:p w14:paraId="2E71BA1A" w14:textId="77777777" w:rsidR="00940D15" w:rsidRPr="00F9307C" w:rsidRDefault="00940D15" w:rsidP="00FB05C6">
      <w:pPr>
        <w:widowControl w:val="0"/>
        <w:tabs>
          <w:tab w:val="left" w:pos="-90"/>
        </w:tabs>
        <w:autoSpaceDE w:val="0"/>
        <w:autoSpaceDN w:val="0"/>
        <w:adjustRightInd w:val="0"/>
        <w:ind w:left="720" w:hanging="720"/>
      </w:pPr>
      <w:r w:rsidRPr="00F9307C">
        <w:t xml:space="preserve">Shaw, H. J. (2006). Food deserts: Towards the development of a classification. Geografiska Annaler: Series B, </w:t>
      </w:r>
      <w:r w:rsidRPr="00BE6398">
        <w:rPr>
          <w:i/>
          <w:iCs/>
        </w:rPr>
        <w:t>Human Geography</w:t>
      </w:r>
      <w:r w:rsidRPr="00F9307C">
        <w:t xml:space="preserve">, </w:t>
      </w:r>
      <w:r w:rsidRPr="00A339F2">
        <w:rPr>
          <w:i/>
          <w:iCs/>
        </w:rPr>
        <w:t>88</w:t>
      </w:r>
      <w:r w:rsidRPr="00F9307C">
        <w:t xml:space="preserve">(2), 231-247. </w:t>
      </w:r>
    </w:p>
    <w:p w14:paraId="5BFD43B9" w14:textId="77777777" w:rsidR="00940D15" w:rsidRDefault="00940D15" w:rsidP="00FB05C6">
      <w:pPr>
        <w:widowControl w:val="0"/>
        <w:autoSpaceDE w:val="0"/>
        <w:autoSpaceDN w:val="0"/>
        <w:adjustRightInd w:val="0"/>
        <w:ind w:left="720" w:hanging="720"/>
      </w:pPr>
      <w:r w:rsidRPr="00F9307C">
        <w:t xml:space="preserve">Trafimow, D., &amp; Finley, K. A. (2001). The importance of traits and group memberships. </w:t>
      </w:r>
      <w:r w:rsidRPr="00BE6398">
        <w:rPr>
          <w:i/>
          <w:iCs/>
        </w:rPr>
        <w:t>European Journal of Social Psychology</w:t>
      </w:r>
      <w:r w:rsidRPr="00A339F2">
        <w:rPr>
          <w:i/>
          <w:iCs/>
        </w:rPr>
        <w:t>, 31</w:t>
      </w:r>
      <w:r w:rsidRPr="00F9307C">
        <w:t>, 37-43.</w:t>
      </w:r>
    </w:p>
    <w:p w14:paraId="1E1BE69A" w14:textId="77777777" w:rsidR="00940D15" w:rsidRDefault="00940D15" w:rsidP="00FB05C6">
      <w:pPr>
        <w:widowControl w:val="0"/>
        <w:autoSpaceDE w:val="0"/>
        <w:autoSpaceDN w:val="0"/>
        <w:adjustRightInd w:val="0"/>
        <w:ind w:left="720" w:hanging="720"/>
      </w:pPr>
      <w:r w:rsidRPr="00F9307C">
        <w:t>United States Census Bureau</w:t>
      </w:r>
      <w:r>
        <w:t>. (2009)</w:t>
      </w:r>
      <w:r w:rsidRPr="00F9307C">
        <w:t>.</w:t>
      </w:r>
      <w:r>
        <w:t xml:space="preserve"> </w:t>
      </w:r>
      <w:r w:rsidRPr="00F9307C">
        <w:t xml:space="preserve">American Community Survey. </w:t>
      </w:r>
      <w:r>
        <w:t>Retrieved from</w:t>
      </w:r>
      <w:r w:rsidRPr="00F9307C">
        <w:t xml:space="preserve"> </w:t>
      </w:r>
      <w:r w:rsidRPr="003349D9">
        <w:t>http://www.census.gov/acs/www/</w:t>
      </w:r>
    </w:p>
    <w:p w14:paraId="2F6A65FB" w14:textId="77777777" w:rsidR="00940D15" w:rsidRDefault="00940D15" w:rsidP="003349D9">
      <w:pPr>
        <w:widowControl w:val="0"/>
        <w:autoSpaceDE w:val="0"/>
        <w:autoSpaceDN w:val="0"/>
        <w:adjustRightInd w:val="0"/>
        <w:ind w:left="720" w:hanging="720"/>
        <w:rPr>
          <w:rStyle w:val="Hyperlink"/>
          <w:color w:val="auto"/>
          <w:u w:val="none"/>
        </w:rPr>
      </w:pPr>
      <w:r w:rsidRPr="00F9307C">
        <w:rPr>
          <w:color w:val="000000"/>
        </w:rPr>
        <w:t>United States Census Bureau.</w:t>
      </w:r>
      <w:r>
        <w:rPr>
          <w:color w:val="000000"/>
        </w:rPr>
        <w:t xml:space="preserve"> (2009).</w:t>
      </w:r>
      <w:r w:rsidRPr="00F9307C">
        <w:rPr>
          <w:color w:val="000000"/>
        </w:rPr>
        <w:t xml:space="preserve"> State &amp; County Quick Facts. </w:t>
      </w:r>
      <w:r>
        <w:rPr>
          <w:color w:val="000000"/>
        </w:rPr>
        <w:t>Retrieved from</w:t>
      </w:r>
      <w:r w:rsidRPr="00F9307C">
        <w:rPr>
          <w:color w:val="000000"/>
        </w:rPr>
        <w:t xml:space="preserve"> </w:t>
      </w:r>
      <w:r w:rsidRPr="003349D9">
        <w:t>http://quickfacts.census.gov/qfd/states/04/04019.html</w:t>
      </w:r>
    </w:p>
    <w:p w14:paraId="1FD72554" w14:textId="77777777" w:rsidR="00940D15" w:rsidRDefault="00940D15" w:rsidP="003349D9">
      <w:pPr>
        <w:widowControl w:val="0"/>
        <w:autoSpaceDE w:val="0"/>
        <w:autoSpaceDN w:val="0"/>
        <w:adjustRightInd w:val="0"/>
        <w:ind w:left="720" w:hanging="720"/>
      </w:pPr>
      <w:r w:rsidRPr="00F9307C">
        <w:t>Ver Ploeg, M., Breneman, V, Farrigan, T., Hamrick, K., Hopkins, D., Kaufman, P.,</w:t>
      </w:r>
      <w:r>
        <w:t xml:space="preserve"> . . . Tuckermanty, E. (2009). </w:t>
      </w:r>
      <w:r w:rsidRPr="00F9307C">
        <w:t>Access to affordable and nutritious food: Measuring and understanding food deserts and their consequences.</w:t>
      </w:r>
      <w:r>
        <w:t xml:space="preserve"> Retrieved from </w:t>
      </w:r>
      <w:r w:rsidRPr="003349D9">
        <w:t>http://www.ers.usda.gov/Publications/AP/AP036/</w:t>
      </w:r>
    </w:p>
    <w:p w14:paraId="1BBFC483" w14:textId="77777777" w:rsidR="00940D15" w:rsidRDefault="00940D15" w:rsidP="003349D9">
      <w:pPr>
        <w:widowControl w:val="0"/>
        <w:autoSpaceDE w:val="0"/>
        <w:autoSpaceDN w:val="0"/>
        <w:adjustRightInd w:val="0"/>
        <w:ind w:left="720" w:hanging="720"/>
      </w:pPr>
      <w:r w:rsidRPr="00F9307C">
        <w:rPr>
          <w:color w:val="000000"/>
        </w:rPr>
        <w:t xml:space="preserve">Wakefield, S., &amp; Poland, B. (2005). Family, friend or foe? Critical reflections on the relevance and role of social capital in health promotion and community development. </w:t>
      </w:r>
      <w:r w:rsidRPr="00BE6398">
        <w:rPr>
          <w:i/>
          <w:iCs/>
          <w:color w:val="000000"/>
        </w:rPr>
        <w:t>Social Science &amp; Medicine</w:t>
      </w:r>
      <w:r w:rsidRPr="00A339F2">
        <w:rPr>
          <w:i/>
          <w:iCs/>
          <w:color w:val="000000"/>
        </w:rPr>
        <w:t>, 60</w:t>
      </w:r>
      <w:r w:rsidRPr="00F9307C">
        <w:rPr>
          <w:color w:val="000000"/>
        </w:rPr>
        <w:t>, 2819-2832.</w:t>
      </w:r>
    </w:p>
    <w:p w14:paraId="26E28386" w14:textId="77777777" w:rsidR="00940D15" w:rsidRDefault="00940D15" w:rsidP="003349D9">
      <w:pPr>
        <w:widowControl w:val="0"/>
        <w:autoSpaceDE w:val="0"/>
        <w:autoSpaceDN w:val="0"/>
        <w:adjustRightInd w:val="0"/>
        <w:ind w:left="720" w:hanging="720"/>
      </w:pPr>
      <w:r w:rsidRPr="00F9307C">
        <w:t xml:space="preserve">Wang, Y., &amp; Beydoun, M.A. (2007). The obesity epidemic in the United States – gender, age, socioeconomic, racial/ethnic, and geographic characteristics: A systematic review and meta-regression analysis. </w:t>
      </w:r>
      <w:r w:rsidRPr="00BE6398">
        <w:rPr>
          <w:i/>
          <w:iCs/>
        </w:rPr>
        <w:t>Epidemiologic Reviews</w:t>
      </w:r>
      <w:r w:rsidRPr="00F9307C">
        <w:t xml:space="preserve">, </w:t>
      </w:r>
      <w:r w:rsidRPr="00A339F2">
        <w:rPr>
          <w:i/>
          <w:iCs/>
        </w:rPr>
        <w:t>29</w:t>
      </w:r>
      <w:r w:rsidRPr="00F9307C">
        <w:t>(1), 6-28.</w:t>
      </w:r>
    </w:p>
    <w:p w14:paraId="5ADC6C6B" w14:textId="77777777" w:rsidR="00940D15" w:rsidRDefault="00940D15" w:rsidP="003349D9">
      <w:pPr>
        <w:widowControl w:val="0"/>
        <w:autoSpaceDE w:val="0"/>
        <w:autoSpaceDN w:val="0"/>
        <w:adjustRightInd w:val="0"/>
        <w:ind w:left="720" w:hanging="720"/>
      </w:pPr>
      <w:r w:rsidRPr="00F9307C">
        <w:t>Weiss, C. C., Purciel, M., Bader, M., Quinn, J. W., Lovasi, G., Neckerman, K. M., &amp; Rundle, A. G. (2011). Reconsidering access: Park facilities and neighborhood disamenities in New York City.</w:t>
      </w:r>
      <w:r>
        <w:t xml:space="preserve"> </w:t>
      </w:r>
      <w:r w:rsidRPr="00BE6398">
        <w:rPr>
          <w:i/>
          <w:iCs/>
        </w:rPr>
        <w:t>Journal of Urban Health</w:t>
      </w:r>
      <w:r>
        <w:t xml:space="preserve">, </w:t>
      </w:r>
      <w:r w:rsidRPr="00A339F2">
        <w:rPr>
          <w:i/>
          <w:iCs/>
        </w:rPr>
        <w:t>88</w:t>
      </w:r>
      <w:r>
        <w:t>(2),</w:t>
      </w:r>
      <w:r w:rsidRPr="00F9307C">
        <w:t xml:space="preserve"> 297-310. </w:t>
      </w:r>
    </w:p>
    <w:p w14:paraId="55381C50" w14:textId="77777777" w:rsidR="00940D15" w:rsidRPr="00F9307C" w:rsidRDefault="00940D15" w:rsidP="003349D9">
      <w:pPr>
        <w:widowControl w:val="0"/>
        <w:autoSpaceDE w:val="0"/>
        <w:autoSpaceDN w:val="0"/>
        <w:adjustRightInd w:val="0"/>
        <w:ind w:left="720" w:hanging="720"/>
      </w:pPr>
      <w:r w:rsidRPr="00F9307C">
        <w:t>Wolch, J., Wilson, J. P., &amp; Fehrenbach, J.</w:t>
      </w:r>
      <w:r>
        <w:t xml:space="preserve"> (2005).</w:t>
      </w:r>
      <w:r w:rsidRPr="00F9307C">
        <w:t xml:space="preserve"> Parks and park funding in Los Angeles: An </w:t>
      </w:r>
    </w:p>
    <w:p w14:paraId="64A301ED" w14:textId="77777777" w:rsidR="00940D15" w:rsidRPr="00655224" w:rsidRDefault="00940D15" w:rsidP="0044732E">
      <w:pPr>
        <w:ind w:left="720"/>
        <w:rPr>
          <w:sz w:val="22"/>
          <w:szCs w:val="22"/>
        </w:rPr>
      </w:pPr>
      <w:r w:rsidRPr="00F9307C">
        <w:t xml:space="preserve">equity mapping analysis. </w:t>
      </w:r>
      <w:r>
        <w:t xml:space="preserve">Retrieved from </w:t>
      </w:r>
      <w:r w:rsidRPr="003349D9">
        <w:t>http://college.usc.edu/geography/ESPE/documents/publications_USC_parks.pdf</w:t>
      </w:r>
    </w:p>
    <w:p w14:paraId="5C8DCB45" w14:textId="77777777" w:rsidR="00940D15" w:rsidRDefault="00940D15">
      <w:pPr>
        <w:rPr>
          <w:sz w:val="22"/>
          <w:szCs w:val="22"/>
        </w:rPr>
      </w:pPr>
    </w:p>
    <w:p w14:paraId="46BBFEAB" w14:textId="77777777" w:rsidR="00940D15" w:rsidRDefault="00940D15">
      <w:pPr>
        <w:rPr>
          <w:sz w:val="22"/>
          <w:szCs w:val="22"/>
        </w:rPr>
      </w:pPr>
    </w:p>
    <w:p w14:paraId="3525AF7A" w14:textId="77777777" w:rsidR="00940D15" w:rsidRDefault="00940D15">
      <w:pPr>
        <w:rPr>
          <w:sz w:val="22"/>
          <w:szCs w:val="22"/>
        </w:rPr>
      </w:pPr>
    </w:p>
    <w:p w14:paraId="01C9AE7F" w14:textId="77777777" w:rsidR="00940D15" w:rsidRDefault="00940D15">
      <w:pPr>
        <w:rPr>
          <w:sz w:val="22"/>
          <w:szCs w:val="22"/>
        </w:rPr>
      </w:pPr>
    </w:p>
    <w:p w14:paraId="3137E314" w14:textId="77777777" w:rsidR="00940D15" w:rsidRDefault="00940D15">
      <w:pPr>
        <w:rPr>
          <w:sz w:val="22"/>
          <w:szCs w:val="22"/>
        </w:rPr>
      </w:pPr>
    </w:p>
    <w:tbl>
      <w:tblPr>
        <w:tblW w:w="0" w:type="auto"/>
        <w:tblInd w:w="2" w:type="dxa"/>
        <w:tblLook w:val="0000" w:firstRow="0" w:lastRow="0" w:firstColumn="0" w:lastColumn="0" w:noHBand="0" w:noVBand="0"/>
      </w:tblPr>
      <w:tblGrid>
        <w:gridCol w:w="3420"/>
        <w:gridCol w:w="5580"/>
      </w:tblGrid>
      <w:tr w:rsidR="00940D15" w:rsidRPr="00655224" w14:paraId="6A4181DC" w14:textId="77777777">
        <w:tc>
          <w:tcPr>
            <w:tcW w:w="3420" w:type="dxa"/>
          </w:tcPr>
          <w:p w14:paraId="480F3ECC" w14:textId="77777777" w:rsidR="00940D15" w:rsidRPr="00655224" w:rsidRDefault="00940D15"/>
        </w:tc>
        <w:tc>
          <w:tcPr>
            <w:tcW w:w="5580" w:type="dxa"/>
          </w:tcPr>
          <w:p w14:paraId="0BE9025C" w14:textId="77777777" w:rsidR="00940D15" w:rsidRPr="005554D2" w:rsidRDefault="00940D15">
            <w:pPr>
              <w:pStyle w:val="Heading1"/>
              <w:rPr>
                <w:sz w:val="22"/>
                <w:szCs w:val="22"/>
              </w:rPr>
            </w:pPr>
            <w:r w:rsidRPr="005554D2">
              <w:rPr>
                <w:sz w:val="22"/>
                <w:szCs w:val="22"/>
              </w:rPr>
              <w:t>Author Information</w:t>
            </w:r>
          </w:p>
          <w:p w14:paraId="050C4CA1" w14:textId="673CEC55" w:rsidR="00940D15" w:rsidRDefault="00A152C0" w:rsidP="0044732E">
            <w:r>
              <w:rPr>
                <w:sz w:val="22"/>
                <w:szCs w:val="22"/>
              </w:rPr>
              <w:t>*</w:t>
            </w:r>
            <w:r w:rsidR="00940D15">
              <w:rPr>
                <w:sz w:val="22"/>
                <w:szCs w:val="22"/>
              </w:rPr>
              <w:t>Melissa A. Henderson, MPH</w:t>
            </w:r>
          </w:p>
          <w:p w14:paraId="43E481B9" w14:textId="77777777" w:rsidR="00940D15" w:rsidRPr="0010127E" w:rsidRDefault="00940D15" w:rsidP="0010127E">
            <w:r w:rsidRPr="0010127E">
              <w:rPr>
                <w:sz w:val="22"/>
                <w:szCs w:val="22"/>
              </w:rPr>
              <w:t>3112 SW 11th Avenue</w:t>
            </w:r>
          </w:p>
          <w:p w14:paraId="305169C1" w14:textId="77777777" w:rsidR="00940D15" w:rsidRPr="0010127E" w:rsidRDefault="00940D15" w:rsidP="0010127E">
            <w:r w:rsidRPr="0010127E">
              <w:rPr>
                <w:sz w:val="22"/>
                <w:szCs w:val="22"/>
              </w:rPr>
              <w:t>Portland, OR 97239</w:t>
            </w:r>
          </w:p>
          <w:p w14:paraId="3E52D8E5" w14:textId="77777777" w:rsidR="00940D15" w:rsidRPr="0010127E" w:rsidRDefault="00940D15" w:rsidP="0010127E">
            <w:r>
              <w:rPr>
                <w:sz w:val="22"/>
                <w:szCs w:val="22"/>
              </w:rPr>
              <w:t xml:space="preserve">Email:  </w:t>
            </w:r>
            <w:r w:rsidRPr="0010127E">
              <w:rPr>
                <w:sz w:val="22"/>
                <w:szCs w:val="22"/>
              </w:rPr>
              <w:t>henders2@email.arizona.edu</w:t>
            </w:r>
          </w:p>
          <w:p w14:paraId="0B57A37C" w14:textId="77777777" w:rsidR="00940D15" w:rsidRDefault="00940D15" w:rsidP="0010127E">
            <w:r>
              <w:rPr>
                <w:sz w:val="22"/>
                <w:szCs w:val="22"/>
              </w:rPr>
              <w:t xml:space="preserve">Telephone:  </w:t>
            </w:r>
            <w:r w:rsidRPr="0010127E">
              <w:rPr>
                <w:sz w:val="22"/>
                <w:szCs w:val="22"/>
              </w:rPr>
              <w:t>(520) 404-9896</w:t>
            </w:r>
          </w:p>
          <w:p w14:paraId="3C277ACD" w14:textId="77777777" w:rsidR="00940D15" w:rsidRDefault="00940D15" w:rsidP="0010127E"/>
          <w:p w14:paraId="519EF180" w14:textId="77777777" w:rsidR="00940D15" w:rsidRDefault="00940D15" w:rsidP="0044732E">
            <w:r w:rsidRPr="0044732E">
              <w:rPr>
                <w:sz w:val="22"/>
                <w:szCs w:val="22"/>
              </w:rPr>
              <w:t>Z</w:t>
            </w:r>
            <w:r>
              <w:rPr>
                <w:sz w:val="22"/>
                <w:szCs w:val="22"/>
              </w:rPr>
              <w:t>oila C. Sanchez, MPH Candidate</w:t>
            </w:r>
          </w:p>
          <w:p w14:paraId="59A38BF9" w14:textId="77777777" w:rsidR="00940D15" w:rsidRPr="0044732E" w:rsidRDefault="00940D15" w:rsidP="0044732E">
            <w:r w:rsidRPr="0044732E">
              <w:rPr>
                <w:sz w:val="22"/>
                <w:szCs w:val="22"/>
              </w:rPr>
              <w:t xml:space="preserve">Evaluation Team, Communities Putting Prevention to Work, </w:t>
            </w:r>
          </w:p>
          <w:p w14:paraId="723DAC71" w14:textId="77777777" w:rsidR="00940D15" w:rsidRDefault="00940D15" w:rsidP="0044732E">
            <w:r w:rsidRPr="0044732E">
              <w:rPr>
                <w:sz w:val="22"/>
                <w:szCs w:val="22"/>
              </w:rPr>
              <w:t>Mel and Enid Zuckerman College of Public Health, University of Arizona, Tucson, Arizona</w:t>
            </w:r>
          </w:p>
          <w:p w14:paraId="430D54DA" w14:textId="77777777" w:rsidR="00940D15" w:rsidRDefault="00940D15" w:rsidP="0044732E"/>
          <w:p w14:paraId="717CF4F3" w14:textId="77777777" w:rsidR="00940D15" w:rsidRDefault="00940D15" w:rsidP="0044732E">
            <w:r>
              <w:rPr>
                <w:sz w:val="22"/>
                <w:szCs w:val="22"/>
              </w:rPr>
              <w:t>Kevin A. Koegel, MPH</w:t>
            </w:r>
          </w:p>
          <w:p w14:paraId="61CE1299" w14:textId="77777777" w:rsidR="00940D15" w:rsidRPr="0044732E" w:rsidRDefault="00940D15" w:rsidP="0044732E">
            <w:r w:rsidRPr="0044732E">
              <w:rPr>
                <w:sz w:val="22"/>
                <w:szCs w:val="22"/>
              </w:rPr>
              <w:t xml:space="preserve">Evaluation Team, Communities Putting Prevention to Work, </w:t>
            </w:r>
          </w:p>
          <w:p w14:paraId="39AC6F65" w14:textId="77777777" w:rsidR="00940D15" w:rsidRDefault="00940D15" w:rsidP="0044732E">
            <w:r w:rsidRPr="0044732E">
              <w:rPr>
                <w:sz w:val="22"/>
                <w:szCs w:val="22"/>
              </w:rPr>
              <w:t>Mel and Enid Zuckerman College of Public Health, University of Arizona, Tucson, Arizona</w:t>
            </w:r>
          </w:p>
          <w:p w14:paraId="273A3A2D" w14:textId="77777777" w:rsidR="00940D15" w:rsidRDefault="00940D15" w:rsidP="0044732E"/>
          <w:p w14:paraId="7FD6AAEF" w14:textId="77777777" w:rsidR="00940D15" w:rsidRDefault="00940D15" w:rsidP="0044732E">
            <w:r>
              <w:rPr>
                <w:sz w:val="22"/>
                <w:szCs w:val="22"/>
              </w:rPr>
              <w:t>Lua Zawacki, MPH</w:t>
            </w:r>
          </w:p>
          <w:p w14:paraId="696883D0" w14:textId="77777777" w:rsidR="00940D15" w:rsidRPr="0044732E" w:rsidRDefault="00940D15" w:rsidP="0044732E">
            <w:r w:rsidRPr="0044732E">
              <w:rPr>
                <w:sz w:val="22"/>
                <w:szCs w:val="22"/>
              </w:rPr>
              <w:t xml:space="preserve">Evaluation Team, Communities Putting Prevention to Work, </w:t>
            </w:r>
          </w:p>
          <w:p w14:paraId="6995BF77" w14:textId="77777777" w:rsidR="00940D15" w:rsidRDefault="00940D15" w:rsidP="0044732E">
            <w:r w:rsidRPr="0044732E">
              <w:rPr>
                <w:sz w:val="22"/>
                <w:szCs w:val="22"/>
              </w:rPr>
              <w:t>Mel and Enid Zuckerman College of Public Health, University of Arizona, Tucson, Arizona</w:t>
            </w:r>
          </w:p>
          <w:p w14:paraId="30DF3091" w14:textId="77777777" w:rsidR="00940D15" w:rsidRDefault="00940D15" w:rsidP="0044732E"/>
          <w:p w14:paraId="7D56F992" w14:textId="77777777" w:rsidR="00940D15" w:rsidRDefault="00940D15" w:rsidP="0044732E">
            <w:r>
              <w:rPr>
                <w:sz w:val="22"/>
                <w:szCs w:val="22"/>
              </w:rPr>
              <w:t>Griselda Martinez</w:t>
            </w:r>
          </w:p>
          <w:p w14:paraId="0CB16083" w14:textId="77777777" w:rsidR="00940D15" w:rsidRPr="0044732E" w:rsidRDefault="00940D15" w:rsidP="0044732E">
            <w:r w:rsidRPr="0044732E">
              <w:rPr>
                <w:sz w:val="22"/>
                <w:szCs w:val="22"/>
              </w:rPr>
              <w:t xml:space="preserve">Evaluation Team, Communities Putting Prevention to Work, </w:t>
            </w:r>
          </w:p>
          <w:p w14:paraId="0BD0287B" w14:textId="77777777" w:rsidR="00940D15" w:rsidRDefault="00940D15" w:rsidP="0044732E">
            <w:r w:rsidRPr="0044732E">
              <w:rPr>
                <w:sz w:val="22"/>
                <w:szCs w:val="22"/>
              </w:rPr>
              <w:t>Mel and Enid Zuckerman College of Public Health, University of Arizona, Tucson, Arizona</w:t>
            </w:r>
          </w:p>
          <w:p w14:paraId="4BADB493" w14:textId="77777777" w:rsidR="00940D15" w:rsidRDefault="00940D15" w:rsidP="0044732E"/>
          <w:p w14:paraId="61F54697" w14:textId="77777777" w:rsidR="00940D15" w:rsidRDefault="00940D15" w:rsidP="0044732E">
            <w:pPr>
              <w:rPr>
                <w:ins w:id="7" w:author="maiai" w:date="2012-03-12T08:38:00Z"/>
              </w:rPr>
            </w:pPr>
            <w:r w:rsidRPr="0044732E">
              <w:rPr>
                <w:sz w:val="22"/>
                <w:szCs w:val="22"/>
              </w:rPr>
              <w:t>Maia Ingram, MPH</w:t>
            </w:r>
          </w:p>
          <w:p w14:paraId="19A1EADF" w14:textId="77777777" w:rsidR="00940D15" w:rsidRPr="00A152C0" w:rsidRDefault="00940D15" w:rsidP="0044732E">
            <w:pPr>
              <w:rPr>
                <w:color w:val="000000" w:themeColor="text1"/>
              </w:rPr>
            </w:pPr>
            <w:r w:rsidRPr="00A152C0">
              <w:rPr>
                <w:color w:val="000000" w:themeColor="text1"/>
                <w:sz w:val="22"/>
                <w:szCs w:val="22"/>
              </w:rPr>
              <w:t>Deputy Director, Arizona Prevention Research Center</w:t>
            </w:r>
          </w:p>
          <w:p w14:paraId="73BC2295" w14:textId="77777777" w:rsidR="00940D15" w:rsidRPr="0044732E" w:rsidRDefault="00940D15" w:rsidP="0044732E">
            <w:r w:rsidRPr="0044732E">
              <w:rPr>
                <w:sz w:val="22"/>
                <w:szCs w:val="22"/>
              </w:rPr>
              <w:t xml:space="preserve">Evaluation Team, Communities Putting Prevention to Work, </w:t>
            </w:r>
          </w:p>
          <w:p w14:paraId="1387A977" w14:textId="77777777" w:rsidR="00940D15" w:rsidRDefault="00940D15" w:rsidP="0044732E">
            <w:r w:rsidRPr="0044732E">
              <w:rPr>
                <w:sz w:val="22"/>
                <w:szCs w:val="22"/>
              </w:rPr>
              <w:t>Mel and Enid Zuckerman College of Public Health, University of Arizona, Tucson, Arizona</w:t>
            </w:r>
          </w:p>
          <w:p w14:paraId="567CED1B" w14:textId="77777777" w:rsidR="00940D15" w:rsidRDefault="00940D15" w:rsidP="007E3233"/>
          <w:p w14:paraId="11A10B77" w14:textId="77777777" w:rsidR="00940D15" w:rsidRPr="005554D2" w:rsidRDefault="00940D15" w:rsidP="007E3233">
            <w:pPr>
              <w:rPr>
                <w:sz w:val="18"/>
                <w:szCs w:val="18"/>
              </w:rPr>
            </w:pPr>
            <w:r w:rsidRPr="005554D2">
              <w:rPr>
                <w:sz w:val="18"/>
                <w:szCs w:val="18"/>
              </w:rPr>
              <w:t>* corresponding author</w:t>
            </w:r>
          </w:p>
        </w:tc>
      </w:tr>
    </w:tbl>
    <w:p w14:paraId="6E1FC683" w14:textId="77777777" w:rsidR="00940D15" w:rsidRPr="00655224" w:rsidRDefault="00940D15" w:rsidP="0010127E">
      <w:pPr>
        <w:spacing w:line="360" w:lineRule="auto"/>
        <w:rPr>
          <w:sz w:val="22"/>
          <w:szCs w:val="22"/>
        </w:rPr>
      </w:pPr>
    </w:p>
    <w:sectPr w:rsidR="00940D15" w:rsidRPr="00655224" w:rsidSect="00940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C1690" w14:textId="77777777" w:rsidR="00AF1B79" w:rsidRDefault="00AF1B79">
      <w:r>
        <w:separator/>
      </w:r>
    </w:p>
  </w:endnote>
  <w:endnote w:type="continuationSeparator" w:id="0">
    <w:p w14:paraId="448DB606" w14:textId="77777777" w:rsidR="00AF1B79" w:rsidRDefault="00AF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31817" w14:textId="77777777" w:rsidR="00AF1B79" w:rsidRDefault="00AF1B7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9656E" w14:textId="77777777" w:rsidR="00AF1B79" w:rsidRPr="00854FD0" w:rsidRDefault="00AF1B79" w:rsidP="00854FD0">
    <w:pPr>
      <w:pStyle w:val="Footer"/>
      <w:framePr w:wrap="auto" w:vAnchor="text" w:hAnchor="margin" w:xAlign="center" w:y="1"/>
      <w:rPr>
        <w:rStyle w:val="PageNumber"/>
        <w:sz w:val="22"/>
        <w:szCs w:val="22"/>
      </w:rPr>
    </w:pPr>
    <w:r w:rsidRPr="00854FD0">
      <w:rPr>
        <w:rStyle w:val="PageNumber"/>
        <w:sz w:val="22"/>
        <w:szCs w:val="22"/>
      </w:rPr>
      <w:fldChar w:fldCharType="begin"/>
    </w:r>
    <w:r w:rsidRPr="00854FD0">
      <w:rPr>
        <w:rStyle w:val="PageNumber"/>
        <w:sz w:val="22"/>
        <w:szCs w:val="22"/>
      </w:rPr>
      <w:instrText xml:space="preserve">PAGE  </w:instrText>
    </w:r>
    <w:r w:rsidRPr="00854FD0">
      <w:rPr>
        <w:rStyle w:val="PageNumber"/>
        <w:sz w:val="22"/>
        <w:szCs w:val="22"/>
      </w:rPr>
      <w:fldChar w:fldCharType="separate"/>
    </w:r>
    <w:r w:rsidR="007A2E5C">
      <w:rPr>
        <w:rStyle w:val="PageNumber"/>
        <w:noProof/>
        <w:sz w:val="22"/>
        <w:szCs w:val="22"/>
      </w:rPr>
      <w:t>37</w:t>
    </w:r>
    <w:r w:rsidRPr="00854FD0">
      <w:rPr>
        <w:rStyle w:val="PageNumber"/>
        <w:sz w:val="22"/>
        <w:szCs w:val="22"/>
      </w:rPr>
      <w:fldChar w:fldCharType="end"/>
    </w:r>
  </w:p>
  <w:p w14:paraId="26B4FF9C" w14:textId="77777777" w:rsidR="00AF1B79" w:rsidRDefault="00AF1B7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B3C5D" w14:textId="77777777" w:rsidR="00AF1B79" w:rsidRDefault="00AF1B7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4DCD3" w14:textId="77777777" w:rsidR="00AF1B79" w:rsidRDefault="00AF1B79">
      <w:r>
        <w:separator/>
      </w:r>
    </w:p>
  </w:footnote>
  <w:footnote w:type="continuationSeparator" w:id="0">
    <w:p w14:paraId="091A606D" w14:textId="77777777" w:rsidR="00AF1B79" w:rsidRDefault="00AF1B7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044DC" w14:textId="77777777" w:rsidR="00AF1B79" w:rsidRDefault="00AF1B7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Ind w:w="-106" w:type="dxa"/>
      <w:tblLook w:val="0000" w:firstRow="0" w:lastRow="0" w:firstColumn="0" w:lastColumn="0" w:noHBand="0" w:noVBand="0"/>
    </w:tblPr>
    <w:tblGrid>
      <w:gridCol w:w="9180"/>
    </w:tblGrid>
    <w:tr w:rsidR="00AF1B79" w14:paraId="6EC1AF31" w14:textId="77777777">
      <w:tc>
        <w:tcPr>
          <w:tcW w:w="9180" w:type="dxa"/>
        </w:tcPr>
        <w:p w14:paraId="37450AF2" w14:textId="217D7585" w:rsidR="00AF1B79" w:rsidRPr="00D54E85" w:rsidRDefault="00AF1B79" w:rsidP="00292E70">
          <w:pPr>
            <w:pStyle w:val="Header"/>
            <w:ind w:right="360"/>
            <w:rPr>
              <w:i/>
              <w:iCs/>
              <w:sz w:val="16"/>
              <w:szCs w:val="16"/>
            </w:rPr>
          </w:pPr>
          <w:r w:rsidRPr="00EA0A35">
            <w:rPr>
              <w:i/>
              <w:iCs/>
              <w:sz w:val="16"/>
              <w:szCs w:val="16"/>
            </w:rPr>
            <w:t xml:space="preserve">Henderson, </w:t>
          </w:r>
          <w:r>
            <w:rPr>
              <w:i/>
              <w:iCs/>
              <w:sz w:val="16"/>
              <w:szCs w:val="16"/>
            </w:rPr>
            <w:t xml:space="preserve">M.A., </w:t>
          </w:r>
          <w:r w:rsidRPr="00EA0A35">
            <w:rPr>
              <w:i/>
              <w:iCs/>
              <w:sz w:val="16"/>
              <w:szCs w:val="16"/>
            </w:rPr>
            <w:t>Sanchez,</w:t>
          </w:r>
          <w:r>
            <w:rPr>
              <w:i/>
              <w:iCs/>
              <w:sz w:val="16"/>
              <w:szCs w:val="16"/>
            </w:rPr>
            <w:t xml:space="preserve">Z.C., </w:t>
          </w:r>
          <w:r w:rsidRPr="00EA0A35">
            <w:rPr>
              <w:i/>
              <w:iCs/>
              <w:sz w:val="16"/>
              <w:szCs w:val="16"/>
            </w:rPr>
            <w:t xml:space="preserve">Koegel, </w:t>
          </w:r>
          <w:r>
            <w:rPr>
              <w:i/>
              <w:iCs/>
              <w:sz w:val="16"/>
              <w:szCs w:val="16"/>
            </w:rPr>
            <w:t xml:space="preserve">K.A., </w:t>
          </w:r>
          <w:r w:rsidRPr="00EA0A35">
            <w:rPr>
              <w:i/>
              <w:iCs/>
              <w:sz w:val="16"/>
              <w:szCs w:val="16"/>
            </w:rPr>
            <w:t>Zawacki,</w:t>
          </w:r>
          <w:r>
            <w:rPr>
              <w:i/>
              <w:iCs/>
              <w:sz w:val="16"/>
              <w:szCs w:val="16"/>
            </w:rPr>
            <w:t xml:space="preserve"> L.,</w:t>
          </w:r>
          <w:r w:rsidRPr="00EA0A35">
            <w:rPr>
              <w:i/>
              <w:iCs/>
              <w:sz w:val="16"/>
              <w:szCs w:val="16"/>
            </w:rPr>
            <w:t xml:space="preserve"> Martinez,</w:t>
          </w:r>
          <w:r>
            <w:rPr>
              <w:i/>
              <w:iCs/>
              <w:sz w:val="16"/>
              <w:szCs w:val="16"/>
            </w:rPr>
            <w:t xml:space="preserve"> G., </w:t>
          </w:r>
          <w:r w:rsidRPr="00EA0A35">
            <w:rPr>
              <w:i/>
              <w:iCs/>
              <w:sz w:val="16"/>
              <w:szCs w:val="16"/>
            </w:rPr>
            <w:t>Ingram</w:t>
          </w:r>
          <w:r>
            <w:rPr>
              <w:i/>
              <w:iCs/>
              <w:sz w:val="16"/>
              <w:szCs w:val="16"/>
            </w:rPr>
            <w:t>, M.</w:t>
          </w:r>
          <w:r w:rsidRPr="00D54E85">
            <w:rPr>
              <w:i/>
              <w:iCs/>
              <w:sz w:val="16"/>
              <w:szCs w:val="16"/>
            </w:rPr>
            <w:t xml:space="preserve"> / Californian</w:t>
          </w:r>
          <w:r>
            <w:rPr>
              <w:i/>
              <w:iCs/>
              <w:sz w:val="16"/>
              <w:szCs w:val="16"/>
            </w:rPr>
            <w:t xml:space="preserve"> Journal of Health Promotion 2012</w:t>
          </w:r>
          <w:r w:rsidRPr="00D54E85">
            <w:rPr>
              <w:i/>
              <w:iCs/>
              <w:sz w:val="16"/>
              <w:szCs w:val="16"/>
            </w:rPr>
            <w:t xml:space="preserve">, Volume </w:t>
          </w:r>
          <w:r>
            <w:rPr>
              <w:i/>
              <w:iCs/>
              <w:sz w:val="16"/>
              <w:szCs w:val="16"/>
            </w:rPr>
            <w:t xml:space="preserve">10, Special Issue: </w:t>
          </w:r>
          <w:r w:rsidRPr="002531E2">
            <w:rPr>
              <w:bCs/>
              <w:i/>
              <w:sz w:val="16"/>
              <w:szCs w:val="16"/>
            </w:rPr>
            <w:t>Health Disparities in Latino Communities</w:t>
          </w:r>
          <w:r w:rsidRPr="00D54E85">
            <w:rPr>
              <w:i/>
              <w:iCs/>
              <w:sz w:val="16"/>
              <w:szCs w:val="16"/>
            </w:rPr>
            <w:t xml:space="preserve">, </w:t>
          </w:r>
          <w:r w:rsidR="00292E70">
            <w:rPr>
              <w:i/>
              <w:iCs/>
              <w:sz w:val="16"/>
              <w:szCs w:val="16"/>
            </w:rPr>
            <w:t>37-51</w:t>
          </w:r>
        </w:p>
      </w:tc>
    </w:tr>
  </w:tbl>
  <w:p w14:paraId="176ADD5E" w14:textId="77777777" w:rsidR="00AF1B79" w:rsidRDefault="00AF1B79">
    <w:pPr>
      <w:pStyle w:val="Header"/>
      <w:rPr>
        <w:sz w:val="16"/>
        <w:szCs w:val="16"/>
      </w:rPr>
    </w:pPr>
    <w:bookmarkStart w:id="6" w:name="_GoBack"/>
    <w:bookmarkEnd w:id="6"/>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DF398" w14:textId="77777777" w:rsidR="00AF1B79" w:rsidRDefault="00AF1B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319E9"/>
    <w:multiLevelType w:val="hybridMultilevel"/>
    <w:tmpl w:val="6A0821EC"/>
    <w:lvl w:ilvl="0" w:tplc="5B6242C8">
      <w:start w:val="1"/>
      <w:numFmt w:val="lowerLetter"/>
      <w:lvlText w:val="%1."/>
      <w:lvlJc w:val="left"/>
      <w:pPr>
        <w:ind w:left="720" w:hanging="360"/>
      </w:pPr>
      <w:rPr>
        <w:rFonts w:ascii="Calibri" w:eastAsia="Times New Roman" w:hAnsi="Calibri"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19300F53"/>
    <w:multiLevelType w:val="hybridMultilevel"/>
    <w:tmpl w:val="D25494E2"/>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2AB63326"/>
    <w:multiLevelType w:val="hybridMultilevel"/>
    <w:tmpl w:val="7A80005A"/>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30FC63FE"/>
    <w:multiLevelType w:val="hybridMultilevel"/>
    <w:tmpl w:val="C34A6628"/>
    <w:lvl w:ilvl="0" w:tplc="5B6242C8">
      <w:start w:val="1"/>
      <w:numFmt w:val="lowerLetter"/>
      <w:lvlText w:val="%1."/>
      <w:lvlJc w:val="left"/>
      <w:pPr>
        <w:ind w:left="720" w:hanging="360"/>
      </w:pPr>
      <w:rPr>
        <w:rFonts w:ascii="Calibri" w:eastAsia="Times New Roman" w:hAnsi="Calibri"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366E5E8E"/>
    <w:multiLevelType w:val="hybridMultilevel"/>
    <w:tmpl w:val="8EF4CC00"/>
    <w:lvl w:ilvl="0" w:tplc="5B6242C8">
      <w:start w:val="1"/>
      <w:numFmt w:val="lowerLetter"/>
      <w:lvlText w:val="%1."/>
      <w:lvlJc w:val="left"/>
      <w:pPr>
        <w:ind w:left="720" w:hanging="360"/>
      </w:pPr>
      <w:rPr>
        <w:rFonts w:ascii="Calibri" w:eastAsia="Times New Roman" w:hAnsi="Calibri"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71F0418B"/>
    <w:multiLevelType w:val="hybridMultilevel"/>
    <w:tmpl w:val="6BA4E960"/>
    <w:lvl w:ilvl="0" w:tplc="5B6242C8">
      <w:start w:val="1"/>
      <w:numFmt w:val="lowerLetter"/>
      <w:lvlText w:val="%1."/>
      <w:lvlJc w:val="left"/>
      <w:pPr>
        <w:ind w:left="855" w:hanging="360"/>
      </w:pPr>
      <w:rPr>
        <w:rFonts w:ascii="Calibri" w:eastAsia="Times New Roman" w:hAnsi="Calibri" w:hint="default"/>
      </w:rPr>
    </w:lvl>
    <w:lvl w:ilvl="1" w:tplc="080A0019">
      <w:start w:val="1"/>
      <w:numFmt w:val="lowerLetter"/>
      <w:lvlText w:val="%2."/>
      <w:lvlJc w:val="left"/>
      <w:pPr>
        <w:ind w:left="1575" w:hanging="360"/>
      </w:pPr>
    </w:lvl>
    <w:lvl w:ilvl="2" w:tplc="080A001B">
      <w:start w:val="1"/>
      <w:numFmt w:val="lowerRoman"/>
      <w:lvlText w:val="%3."/>
      <w:lvlJc w:val="right"/>
      <w:pPr>
        <w:ind w:left="2295" w:hanging="180"/>
      </w:pPr>
    </w:lvl>
    <w:lvl w:ilvl="3" w:tplc="080A000F">
      <w:start w:val="1"/>
      <w:numFmt w:val="decimal"/>
      <w:lvlText w:val="%4."/>
      <w:lvlJc w:val="left"/>
      <w:pPr>
        <w:ind w:left="3015" w:hanging="360"/>
      </w:pPr>
    </w:lvl>
    <w:lvl w:ilvl="4" w:tplc="080A0019">
      <w:start w:val="1"/>
      <w:numFmt w:val="lowerLetter"/>
      <w:lvlText w:val="%5."/>
      <w:lvlJc w:val="left"/>
      <w:pPr>
        <w:ind w:left="3735" w:hanging="360"/>
      </w:pPr>
    </w:lvl>
    <w:lvl w:ilvl="5" w:tplc="080A001B">
      <w:start w:val="1"/>
      <w:numFmt w:val="lowerRoman"/>
      <w:lvlText w:val="%6."/>
      <w:lvlJc w:val="right"/>
      <w:pPr>
        <w:ind w:left="4455" w:hanging="180"/>
      </w:pPr>
    </w:lvl>
    <w:lvl w:ilvl="6" w:tplc="080A000F">
      <w:start w:val="1"/>
      <w:numFmt w:val="decimal"/>
      <w:lvlText w:val="%7."/>
      <w:lvlJc w:val="left"/>
      <w:pPr>
        <w:ind w:left="5175" w:hanging="360"/>
      </w:pPr>
    </w:lvl>
    <w:lvl w:ilvl="7" w:tplc="080A0019">
      <w:start w:val="1"/>
      <w:numFmt w:val="lowerLetter"/>
      <w:lvlText w:val="%8."/>
      <w:lvlJc w:val="left"/>
      <w:pPr>
        <w:ind w:left="5895" w:hanging="360"/>
      </w:pPr>
    </w:lvl>
    <w:lvl w:ilvl="8" w:tplc="080A001B">
      <w:start w:val="1"/>
      <w:numFmt w:val="lowerRoman"/>
      <w:lvlText w:val="%9."/>
      <w:lvlJc w:val="right"/>
      <w:pPr>
        <w:ind w:left="6615" w:hanging="180"/>
      </w:p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36"/>
    <w:rsid w:val="00000B70"/>
    <w:rsid w:val="00012472"/>
    <w:rsid w:val="00021FC0"/>
    <w:rsid w:val="000356D6"/>
    <w:rsid w:val="000546B2"/>
    <w:rsid w:val="000959DC"/>
    <w:rsid w:val="000C00CD"/>
    <w:rsid w:val="0010127E"/>
    <w:rsid w:val="0010155B"/>
    <w:rsid w:val="00111C12"/>
    <w:rsid w:val="00113B05"/>
    <w:rsid w:val="00134C4E"/>
    <w:rsid w:val="00155C82"/>
    <w:rsid w:val="0016523D"/>
    <w:rsid w:val="00172F5E"/>
    <w:rsid w:val="001A03C5"/>
    <w:rsid w:val="001E1F34"/>
    <w:rsid w:val="00204C4A"/>
    <w:rsid w:val="002209B2"/>
    <w:rsid w:val="0022252A"/>
    <w:rsid w:val="00232719"/>
    <w:rsid w:val="002331C1"/>
    <w:rsid w:val="00237AC0"/>
    <w:rsid w:val="002469C7"/>
    <w:rsid w:val="00271E5E"/>
    <w:rsid w:val="002811E8"/>
    <w:rsid w:val="00292E70"/>
    <w:rsid w:val="002967F1"/>
    <w:rsid w:val="002A20A2"/>
    <w:rsid w:val="002A2B7B"/>
    <w:rsid w:val="002D3329"/>
    <w:rsid w:val="002E461E"/>
    <w:rsid w:val="002E614D"/>
    <w:rsid w:val="002F77B0"/>
    <w:rsid w:val="003019A3"/>
    <w:rsid w:val="003349D9"/>
    <w:rsid w:val="0034301D"/>
    <w:rsid w:val="003535D4"/>
    <w:rsid w:val="003627EC"/>
    <w:rsid w:val="00370F08"/>
    <w:rsid w:val="00391A8D"/>
    <w:rsid w:val="00396848"/>
    <w:rsid w:val="003B6243"/>
    <w:rsid w:val="003C360F"/>
    <w:rsid w:val="003D4B0C"/>
    <w:rsid w:val="003E1E8A"/>
    <w:rsid w:val="004067DA"/>
    <w:rsid w:val="004102C0"/>
    <w:rsid w:val="00410631"/>
    <w:rsid w:val="0042228D"/>
    <w:rsid w:val="0042351D"/>
    <w:rsid w:val="00425DA3"/>
    <w:rsid w:val="004419EC"/>
    <w:rsid w:val="0044732E"/>
    <w:rsid w:val="00450125"/>
    <w:rsid w:val="00473F43"/>
    <w:rsid w:val="00491D0A"/>
    <w:rsid w:val="00491DAE"/>
    <w:rsid w:val="00493A3A"/>
    <w:rsid w:val="004A3363"/>
    <w:rsid w:val="004A7A06"/>
    <w:rsid w:val="004D03AF"/>
    <w:rsid w:val="004D172D"/>
    <w:rsid w:val="005213B6"/>
    <w:rsid w:val="005308ED"/>
    <w:rsid w:val="005554D2"/>
    <w:rsid w:val="005833DE"/>
    <w:rsid w:val="00586B1C"/>
    <w:rsid w:val="005A07E4"/>
    <w:rsid w:val="005A230F"/>
    <w:rsid w:val="005A5764"/>
    <w:rsid w:val="005A6D84"/>
    <w:rsid w:val="005F5778"/>
    <w:rsid w:val="006079AC"/>
    <w:rsid w:val="00621D85"/>
    <w:rsid w:val="0062726B"/>
    <w:rsid w:val="00630136"/>
    <w:rsid w:val="00635705"/>
    <w:rsid w:val="006377B8"/>
    <w:rsid w:val="00642553"/>
    <w:rsid w:val="00643448"/>
    <w:rsid w:val="006472F3"/>
    <w:rsid w:val="00655224"/>
    <w:rsid w:val="00681D32"/>
    <w:rsid w:val="00682AF9"/>
    <w:rsid w:val="00683CF2"/>
    <w:rsid w:val="006A0664"/>
    <w:rsid w:val="006A662D"/>
    <w:rsid w:val="006B5B78"/>
    <w:rsid w:val="006F2D3D"/>
    <w:rsid w:val="00700F1D"/>
    <w:rsid w:val="00703246"/>
    <w:rsid w:val="0074270A"/>
    <w:rsid w:val="00751B84"/>
    <w:rsid w:val="00760D18"/>
    <w:rsid w:val="00762457"/>
    <w:rsid w:val="00762F99"/>
    <w:rsid w:val="0077657E"/>
    <w:rsid w:val="00780D8D"/>
    <w:rsid w:val="00795601"/>
    <w:rsid w:val="007A2E5C"/>
    <w:rsid w:val="007A36BE"/>
    <w:rsid w:val="007B3DF9"/>
    <w:rsid w:val="007E3233"/>
    <w:rsid w:val="00814778"/>
    <w:rsid w:val="008239BF"/>
    <w:rsid w:val="008540F8"/>
    <w:rsid w:val="00854FD0"/>
    <w:rsid w:val="00862F30"/>
    <w:rsid w:val="00874EDA"/>
    <w:rsid w:val="0089340C"/>
    <w:rsid w:val="00895470"/>
    <w:rsid w:val="008B2B9F"/>
    <w:rsid w:val="0091424D"/>
    <w:rsid w:val="00925E6B"/>
    <w:rsid w:val="0093603F"/>
    <w:rsid w:val="00940D15"/>
    <w:rsid w:val="0096069F"/>
    <w:rsid w:val="0096650C"/>
    <w:rsid w:val="009769EC"/>
    <w:rsid w:val="009822B2"/>
    <w:rsid w:val="00987F79"/>
    <w:rsid w:val="009D5F81"/>
    <w:rsid w:val="00A07A59"/>
    <w:rsid w:val="00A152C0"/>
    <w:rsid w:val="00A27E8C"/>
    <w:rsid w:val="00A30A49"/>
    <w:rsid w:val="00A339F2"/>
    <w:rsid w:val="00A65E8B"/>
    <w:rsid w:val="00A8379F"/>
    <w:rsid w:val="00A85210"/>
    <w:rsid w:val="00AC3C33"/>
    <w:rsid w:val="00AC69C9"/>
    <w:rsid w:val="00AD405A"/>
    <w:rsid w:val="00AE5556"/>
    <w:rsid w:val="00AF1B79"/>
    <w:rsid w:val="00B13DCC"/>
    <w:rsid w:val="00B458D4"/>
    <w:rsid w:val="00B50B37"/>
    <w:rsid w:val="00B62990"/>
    <w:rsid w:val="00B84554"/>
    <w:rsid w:val="00BA3ABB"/>
    <w:rsid w:val="00BA3F94"/>
    <w:rsid w:val="00BA4448"/>
    <w:rsid w:val="00BB329C"/>
    <w:rsid w:val="00BE6398"/>
    <w:rsid w:val="00C30D54"/>
    <w:rsid w:val="00C326F6"/>
    <w:rsid w:val="00CA64FD"/>
    <w:rsid w:val="00CA7C49"/>
    <w:rsid w:val="00CC1083"/>
    <w:rsid w:val="00CD42ED"/>
    <w:rsid w:val="00CF4982"/>
    <w:rsid w:val="00D03FA5"/>
    <w:rsid w:val="00D43A6B"/>
    <w:rsid w:val="00D54E85"/>
    <w:rsid w:val="00DA0CFE"/>
    <w:rsid w:val="00DA6FC6"/>
    <w:rsid w:val="00DC4BE9"/>
    <w:rsid w:val="00DE59DC"/>
    <w:rsid w:val="00DE7845"/>
    <w:rsid w:val="00DF4D99"/>
    <w:rsid w:val="00DF7A37"/>
    <w:rsid w:val="00E1143D"/>
    <w:rsid w:val="00E132EE"/>
    <w:rsid w:val="00E17B51"/>
    <w:rsid w:val="00E25BF1"/>
    <w:rsid w:val="00E35C76"/>
    <w:rsid w:val="00E51BEC"/>
    <w:rsid w:val="00E73475"/>
    <w:rsid w:val="00EA0A35"/>
    <w:rsid w:val="00EB601F"/>
    <w:rsid w:val="00EC16D5"/>
    <w:rsid w:val="00ED746B"/>
    <w:rsid w:val="00F23C8E"/>
    <w:rsid w:val="00F64591"/>
    <w:rsid w:val="00F928FC"/>
    <w:rsid w:val="00F9307C"/>
    <w:rsid w:val="00FA0641"/>
    <w:rsid w:val="00FA4FB4"/>
    <w:rsid w:val="00FB05C6"/>
    <w:rsid w:val="00FB54C4"/>
    <w:rsid w:val="00FC409F"/>
    <w:rsid w:val="00FC5230"/>
    <w:rsid w:val="00FC7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AA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8D4"/>
    <w:rPr>
      <w:sz w:val="24"/>
      <w:szCs w:val="24"/>
    </w:rPr>
  </w:style>
  <w:style w:type="paragraph" w:styleId="Heading1">
    <w:name w:val="heading 1"/>
    <w:basedOn w:val="Normal"/>
    <w:next w:val="Normal"/>
    <w:link w:val="Heading1Char"/>
    <w:uiPriority w:val="99"/>
    <w:qFormat/>
    <w:rsid w:val="00B458D4"/>
    <w:pPr>
      <w:keepNext/>
      <w:outlineLvl w:val="0"/>
    </w:pPr>
    <w:rPr>
      <w:sz w:val="20"/>
      <w:szCs w:val="20"/>
      <w:u w:val="single"/>
    </w:rPr>
  </w:style>
  <w:style w:type="paragraph" w:styleId="Heading2">
    <w:name w:val="heading 2"/>
    <w:basedOn w:val="Normal"/>
    <w:next w:val="Normal"/>
    <w:link w:val="Heading2Char"/>
    <w:uiPriority w:val="99"/>
    <w:qFormat/>
    <w:rsid w:val="00B458D4"/>
    <w:pPr>
      <w:keepNext/>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33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133F"/>
    <w:rPr>
      <w:rFonts w:asciiTheme="majorHAnsi" w:eastAsiaTheme="majorEastAsia" w:hAnsiTheme="majorHAnsi" w:cstheme="majorBidi"/>
      <w:b/>
      <w:bCs/>
      <w:i/>
      <w:iCs/>
      <w:sz w:val="28"/>
      <w:szCs w:val="28"/>
    </w:rPr>
  </w:style>
  <w:style w:type="paragraph" w:styleId="Header">
    <w:name w:val="header"/>
    <w:basedOn w:val="Normal"/>
    <w:link w:val="HeaderChar"/>
    <w:uiPriority w:val="99"/>
    <w:rsid w:val="00B458D4"/>
    <w:pPr>
      <w:tabs>
        <w:tab w:val="center" w:pos="4320"/>
        <w:tab w:val="right" w:pos="8640"/>
      </w:tabs>
    </w:pPr>
  </w:style>
  <w:style w:type="character" w:customStyle="1" w:styleId="HeaderChar">
    <w:name w:val="Header Char"/>
    <w:basedOn w:val="DefaultParagraphFont"/>
    <w:link w:val="Header"/>
    <w:uiPriority w:val="99"/>
    <w:semiHidden/>
    <w:rsid w:val="008A133F"/>
    <w:rPr>
      <w:sz w:val="24"/>
      <w:szCs w:val="24"/>
    </w:rPr>
  </w:style>
  <w:style w:type="paragraph" w:styleId="Footer">
    <w:name w:val="footer"/>
    <w:basedOn w:val="Normal"/>
    <w:link w:val="FooterChar"/>
    <w:uiPriority w:val="99"/>
    <w:rsid w:val="00B458D4"/>
    <w:pPr>
      <w:tabs>
        <w:tab w:val="center" w:pos="4320"/>
        <w:tab w:val="right" w:pos="8640"/>
      </w:tabs>
    </w:pPr>
  </w:style>
  <w:style w:type="character" w:customStyle="1" w:styleId="FooterChar">
    <w:name w:val="Footer Char"/>
    <w:basedOn w:val="DefaultParagraphFont"/>
    <w:link w:val="Footer"/>
    <w:uiPriority w:val="99"/>
    <w:semiHidden/>
    <w:rsid w:val="008A133F"/>
    <w:rPr>
      <w:sz w:val="24"/>
      <w:szCs w:val="24"/>
    </w:rPr>
  </w:style>
  <w:style w:type="character" w:styleId="PageNumber">
    <w:name w:val="page number"/>
    <w:basedOn w:val="DefaultParagraphFont"/>
    <w:uiPriority w:val="99"/>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99"/>
    <w:rsid w:val="00155C8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05C6"/>
    <w:pPr>
      <w:spacing w:before="100" w:beforeAutospacing="1"/>
      <w:ind w:left="75" w:right="75"/>
    </w:pPr>
    <w:rPr>
      <w:rFonts w:eastAsia="MS Mincho"/>
      <w:color w:val="000000"/>
    </w:rPr>
  </w:style>
  <w:style w:type="paragraph" w:styleId="ListParagraph">
    <w:name w:val="List Paragraph"/>
    <w:basedOn w:val="Normal"/>
    <w:uiPriority w:val="99"/>
    <w:qFormat/>
    <w:rsid w:val="00000B70"/>
    <w:pPr>
      <w:ind w:left="720"/>
    </w:pPr>
    <w:rPr>
      <w:rFonts w:ascii="Calibri" w:eastAsia="MS Mincho" w:hAnsi="Calibri" w:cs="Calibri"/>
    </w:rPr>
  </w:style>
  <w:style w:type="paragraph" w:styleId="BalloonText">
    <w:name w:val="Balloon Text"/>
    <w:basedOn w:val="Normal"/>
    <w:link w:val="BalloonTextChar"/>
    <w:uiPriority w:val="99"/>
    <w:semiHidden/>
    <w:rsid w:val="002E461E"/>
    <w:rPr>
      <w:rFonts w:ascii="Tahoma" w:hAnsi="Tahoma" w:cs="Tahoma"/>
      <w:sz w:val="16"/>
      <w:szCs w:val="16"/>
    </w:rPr>
  </w:style>
  <w:style w:type="character" w:customStyle="1" w:styleId="BalloonTextChar">
    <w:name w:val="Balloon Text Char"/>
    <w:basedOn w:val="DefaultParagraphFont"/>
    <w:link w:val="BalloonText"/>
    <w:uiPriority w:val="99"/>
    <w:locked/>
    <w:rsid w:val="002E461E"/>
    <w:rPr>
      <w:rFonts w:ascii="Tahoma" w:hAnsi="Tahoma" w:cs="Tahoma"/>
      <w:sz w:val="16"/>
      <w:szCs w:val="16"/>
    </w:rPr>
  </w:style>
  <w:style w:type="character" w:styleId="CommentReference">
    <w:name w:val="annotation reference"/>
    <w:basedOn w:val="DefaultParagraphFont"/>
    <w:uiPriority w:val="99"/>
    <w:semiHidden/>
    <w:rsid w:val="007A36BE"/>
    <w:rPr>
      <w:sz w:val="16"/>
      <w:szCs w:val="16"/>
    </w:rPr>
  </w:style>
  <w:style w:type="paragraph" w:styleId="CommentText">
    <w:name w:val="annotation text"/>
    <w:basedOn w:val="Normal"/>
    <w:link w:val="CommentTextChar"/>
    <w:uiPriority w:val="99"/>
    <w:semiHidden/>
    <w:rsid w:val="007A36BE"/>
    <w:rPr>
      <w:sz w:val="20"/>
      <w:szCs w:val="20"/>
    </w:rPr>
  </w:style>
  <w:style w:type="character" w:customStyle="1" w:styleId="CommentTextChar">
    <w:name w:val="Comment Text Char"/>
    <w:basedOn w:val="DefaultParagraphFont"/>
    <w:link w:val="CommentText"/>
    <w:uiPriority w:val="99"/>
    <w:locked/>
    <w:rsid w:val="007A36BE"/>
  </w:style>
  <w:style w:type="paragraph" w:styleId="CommentSubject">
    <w:name w:val="annotation subject"/>
    <w:basedOn w:val="CommentText"/>
    <w:next w:val="CommentText"/>
    <w:link w:val="CommentSubjectChar"/>
    <w:uiPriority w:val="99"/>
    <w:semiHidden/>
    <w:rsid w:val="007A36BE"/>
    <w:rPr>
      <w:b/>
      <w:bCs/>
    </w:rPr>
  </w:style>
  <w:style w:type="character" w:customStyle="1" w:styleId="CommentSubjectChar">
    <w:name w:val="Comment Subject Char"/>
    <w:basedOn w:val="CommentTextChar"/>
    <w:link w:val="CommentSubject"/>
    <w:uiPriority w:val="99"/>
    <w:locked/>
    <w:rsid w:val="007A36B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8D4"/>
    <w:rPr>
      <w:sz w:val="24"/>
      <w:szCs w:val="24"/>
    </w:rPr>
  </w:style>
  <w:style w:type="paragraph" w:styleId="Heading1">
    <w:name w:val="heading 1"/>
    <w:basedOn w:val="Normal"/>
    <w:next w:val="Normal"/>
    <w:link w:val="Heading1Char"/>
    <w:uiPriority w:val="99"/>
    <w:qFormat/>
    <w:rsid w:val="00B458D4"/>
    <w:pPr>
      <w:keepNext/>
      <w:outlineLvl w:val="0"/>
    </w:pPr>
    <w:rPr>
      <w:sz w:val="20"/>
      <w:szCs w:val="20"/>
      <w:u w:val="single"/>
    </w:rPr>
  </w:style>
  <w:style w:type="paragraph" w:styleId="Heading2">
    <w:name w:val="heading 2"/>
    <w:basedOn w:val="Normal"/>
    <w:next w:val="Normal"/>
    <w:link w:val="Heading2Char"/>
    <w:uiPriority w:val="99"/>
    <w:qFormat/>
    <w:rsid w:val="00B458D4"/>
    <w:pPr>
      <w:keepNext/>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133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133F"/>
    <w:rPr>
      <w:rFonts w:asciiTheme="majorHAnsi" w:eastAsiaTheme="majorEastAsia" w:hAnsiTheme="majorHAnsi" w:cstheme="majorBidi"/>
      <w:b/>
      <w:bCs/>
      <w:i/>
      <w:iCs/>
      <w:sz w:val="28"/>
      <w:szCs w:val="28"/>
    </w:rPr>
  </w:style>
  <w:style w:type="paragraph" w:styleId="Header">
    <w:name w:val="header"/>
    <w:basedOn w:val="Normal"/>
    <w:link w:val="HeaderChar"/>
    <w:uiPriority w:val="99"/>
    <w:rsid w:val="00B458D4"/>
    <w:pPr>
      <w:tabs>
        <w:tab w:val="center" w:pos="4320"/>
        <w:tab w:val="right" w:pos="8640"/>
      </w:tabs>
    </w:pPr>
  </w:style>
  <w:style w:type="character" w:customStyle="1" w:styleId="HeaderChar">
    <w:name w:val="Header Char"/>
    <w:basedOn w:val="DefaultParagraphFont"/>
    <w:link w:val="Header"/>
    <w:uiPriority w:val="99"/>
    <w:semiHidden/>
    <w:rsid w:val="008A133F"/>
    <w:rPr>
      <w:sz w:val="24"/>
      <w:szCs w:val="24"/>
    </w:rPr>
  </w:style>
  <w:style w:type="paragraph" w:styleId="Footer">
    <w:name w:val="footer"/>
    <w:basedOn w:val="Normal"/>
    <w:link w:val="FooterChar"/>
    <w:uiPriority w:val="99"/>
    <w:rsid w:val="00B458D4"/>
    <w:pPr>
      <w:tabs>
        <w:tab w:val="center" w:pos="4320"/>
        <w:tab w:val="right" w:pos="8640"/>
      </w:tabs>
    </w:pPr>
  </w:style>
  <w:style w:type="character" w:customStyle="1" w:styleId="FooterChar">
    <w:name w:val="Footer Char"/>
    <w:basedOn w:val="DefaultParagraphFont"/>
    <w:link w:val="Footer"/>
    <w:uiPriority w:val="99"/>
    <w:semiHidden/>
    <w:rsid w:val="008A133F"/>
    <w:rPr>
      <w:sz w:val="24"/>
      <w:szCs w:val="24"/>
    </w:rPr>
  </w:style>
  <w:style w:type="character" w:styleId="PageNumber">
    <w:name w:val="page number"/>
    <w:basedOn w:val="DefaultParagraphFont"/>
    <w:uiPriority w:val="99"/>
    <w:rsid w:val="00B458D4"/>
  </w:style>
  <w:style w:type="character" w:styleId="Hyperlink">
    <w:name w:val="Hyperlink"/>
    <w:basedOn w:val="DefaultParagraphFont"/>
    <w:uiPriority w:val="99"/>
    <w:rsid w:val="00925E6B"/>
    <w:rPr>
      <w:color w:val="0000FF"/>
      <w:u w:val="single"/>
    </w:rPr>
  </w:style>
  <w:style w:type="table" w:styleId="TableGrid">
    <w:name w:val="Table Grid"/>
    <w:basedOn w:val="TableNormal"/>
    <w:uiPriority w:val="99"/>
    <w:rsid w:val="00155C8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05C6"/>
    <w:pPr>
      <w:spacing w:before="100" w:beforeAutospacing="1"/>
      <w:ind w:left="75" w:right="75"/>
    </w:pPr>
    <w:rPr>
      <w:rFonts w:eastAsia="MS Mincho"/>
      <w:color w:val="000000"/>
    </w:rPr>
  </w:style>
  <w:style w:type="paragraph" w:styleId="ListParagraph">
    <w:name w:val="List Paragraph"/>
    <w:basedOn w:val="Normal"/>
    <w:uiPriority w:val="99"/>
    <w:qFormat/>
    <w:rsid w:val="00000B70"/>
    <w:pPr>
      <w:ind w:left="720"/>
    </w:pPr>
    <w:rPr>
      <w:rFonts w:ascii="Calibri" w:eastAsia="MS Mincho" w:hAnsi="Calibri" w:cs="Calibri"/>
    </w:rPr>
  </w:style>
  <w:style w:type="paragraph" w:styleId="BalloonText">
    <w:name w:val="Balloon Text"/>
    <w:basedOn w:val="Normal"/>
    <w:link w:val="BalloonTextChar"/>
    <w:uiPriority w:val="99"/>
    <w:semiHidden/>
    <w:rsid w:val="002E461E"/>
    <w:rPr>
      <w:rFonts w:ascii="Tahoma" w:hAnsi="Tahoma" w:cs="Tahoma"/>
      <w:sz w:val="16"/>
      <w:szCs w:val="16"/>
    </w:rPr>
  </w:style>
  <w:style w:type="character" w:customStyle="1" w:styleId="BalloonTextChar">
    <w:name w:val="Balloon Text Char"/>
    <w:basedOn w:val="DefaultParagraphFont"/>
    <w:link w:val="BalloonText"/>
    <w:uiPriority w:val="99"/>
    <w:locked/>
    <w:rsid w:val="002E461E"/>
    <w:rPr>
      <w:rFonts w:ascii="Tahoma" w:hAnsi="Tahoma" w:cs="Tahoma"/>
      <w:sz w:val="16"/>
      <w:szCs w:val="16"/>
    </w:rPr>
  </w:style>
  <w:style w:type="character" w:styleId="CommentReference">
    <w:name w:val="annotation reference"/>
    <w:basedOn w:val="DefaultParagraphFont"/>
    <w:uiPriority w:val="99"/>
    <w:semiHidden/>
    <w:rsid w:val="007A36BE"/>
    <w:rPr>
      <w:sz w:val="16"/>
      <w:szCs w:val="16"/>
    </w:rPr>
  </w:style>
  <w:style w:type="paragraph" w:styleId="CommentText">
    <w:name w:val="annotation text"/>
    <w:basedOn w:val="Normal"/>
    <w:link w:val="CommentTextChar"/>
    <w:uiPriority w:val="99"/>
    <w:semiHidden/>
    <w:rsid w:val="007A36BE"/>
    <w:rPr>
      <w:sz w:val="20"/>
      <w:szCs w:val="20"/>
    </w:rPr>
  </w:style>
  <w:style w:type="character" w:customStyle="1" w:styleId="CommentTextChar">
    <w:name w:val="Comment Text Char"/>
    <w:basedOn w:val="DefaultParagraphFont"/>
    <w:link w:val="CommentText"/>
    <w:uiPriority w:val="99"/>
    <w:locked/>
    <w:rsid w:val="007A36BE"/>
  </w:style>
  <w:style w:type="paragraph" w:styleId="CommentSubject">
    <w:name w:val="annotation subject"/>
    <w:basedOn w:val="CommentText"/>
    <w:next w:val="CommentText"/>
    <w:link w:val="CommentSubjectChar"/>
    <w:uiPriority w:val="99"/>
    <w:semiHidden/>
    <w:rsid w:val="007A36BE"/>
    <w:rPr>
      <w:b/>
      <w:bCs/>
    </w:rPr>
  </w:style>
  <w:style w:type="character" w:customStyle="1" w:styleId="CommentSubjectChar">
    <w:name w:val="Comment Subject Char"/>
    <w:basedOn w:val="CommentTextChar"/>
    <w:link w:val="CommentSubject"/>
    <w:uiPriority w:val="99"/>
    <w:locked/>
    <w:rsid w:val="007A36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6645</Words>
  <Characters>37879</Characters>
  <Application>Microsoft Macintosh Word</Application>
  <DocSecurity>0</DocSecurity>
  <Lines>315</Lines>
  <Paragraphs>88</Paragraphs>
  <ScaleCrop>false</ScaleCrop>
  <Company>California State University, Fullerton</Company>
  <LinksUpToDate>false</LinksUpToDate>
  <CharactersWithSpaces>44436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Profiles: An evaluation and planning tool for neighborhood systems and environmental change efforts</dc:title>
  <dc:subject>Californian Journal of Health Promotion 2012 Volume 10 Issue 1</dc:subject>
  <dc:creator>Melissa A. Henderson, Zoila C. Sanchez, Kevin A. Koegel, Lua Zawacki, Griselda Martinez, Maia Ingram</dc:creator>
  <cp:keywords>community engagement, community assessment, built environment, food environment, evaluation</cp:keywords>
  <dc:description>http://www.cjhp.org</dc:description>
  <cp:lastModifiedBy>Georgia Halkia</cp:lastModifiedBy>
  <cp:revision>4</cp:revision>
  <cp:lastPrinted>2007-09-01T20:45:00Z</cp:lastPrinted>
  <dcterms:created xsi:type="dcterms:W3CDTF">2012-11-20T19:08:00Z</dcterms:created>
  <dcterms:modified xsi:type="dcterms:W3CDTF">2012-11-20T19:09:00Z</dcterms:modified>
</cp:coreProperties>
</file>